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360" w:lineRule="auto"/>
        <w:jc w:val="center"/>
        <w:rPr>
          <w:sz w:val="21"/>
          <w:szCs w:val="21"/>
        </w:rPr>
      </w:pPr>
      <w:bookmarkStart w:id="0" w:name="_GoBack"/>
      <w:r>
        <w:rPr>
          <w:rFonts w:hint="eastAsia" w:ascii="宋体" w:hAnsi="宋体" w:eastAsia="宋体" w:cs="宋体"/>
          <w:sz w:val="21"/>
          <w:szCs w:val="21"/>
        </w:rPr>
        <w:t>2019年第四批建筑业企业资质审查意见汇总表</w:t>
      </w:r>
    </w:p>
    <w:bookmarkEnd w:id="0"/>
    <w:tbl>
      <w:tblPr>
        <w:tblW w:w="10020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5"/>
        <w:gridCol w:w="2205"/>
        <w:gridCol w:w="2535"/>
        <w:gridCol w:w="930"/>
        <w:gridCol w:w="2940"/>
        <w:gridCol w:w="76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</w:rPr>
              <w:t>企业名称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</w:rPr>
              <w:t>申报资质及等级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</w:rPr>
              <w:t>综合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</w:rPr>
              <w:t>结论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</w:rPr>
              <w:t>意见</w:t>
            </w:r>
          </w:p>
        </w:tc>
        <w:tc>
          <w:tcPr>
            <w:tcW w:w="7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Style w:val="5"/>
                <w:rFonts w:hint="eastAsia" w:ascii="宋体" w:hAnsi="宋体" w:eastAsia="宋体" w:cs="宋体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中阔营建设有限公司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古建筑工程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首次申请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河南松健建筑工程有限公司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建筑工程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首次申请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钢结构工程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1、工程序列中级职称缺焊接专业中级以上职称；2、技术工人缺焊工。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0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河南伟业防腐工程有限公司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建筑工程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首次申请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钢结构工程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增项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环保工程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施工劳务不分等级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220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河南睿舟建设工程有限公司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建筑工程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首次申请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市政公用工程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钢结构工程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工程序列中级职称缺焊接专业中级以上职称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河南中利机电工程有限公司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市政公用工程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增项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河南顺隆亿安脚手架安装有限公司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模板脚手架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不分等级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首次申请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220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河南强鼎实业有限公司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建筑工程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1、工程序列中级职称中郭俊峰、贾静恩、刘四洋、娄青云、王月群、严鑫丽毕业证待核实；2、技术负责人业绩1不符合要求。</w:t>
            </w:r>
          </w:p>
        </w:tc>
        <w:tc>
          <w:tcPr>
            <w:tcW w:w="76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首次申请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市政公用工程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1、工程序列中级职称缺电气专业中级以上职称；2、技术负责人业绩2不符合要求。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环保工程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工程序列中级职称中贾静恩、王月群、严鑫丽毕业证待核实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</w:t>
            </w:r>
          </w:p>
        </w:tc>
        <w:tc>
          <w:tcPr>
            <w:tcW w:w="220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河南源水建设工程有限公司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电力工程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技术负责人业绩2项均不符合要求</w:t>
            </w:r>
          </w:p>
        </w:tc>
        <w:tc>
          <w:tcPr>
            <w:tcW w:w="76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增项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机电工程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水利水电工程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</w:t>
            </w:r>
          </w:p>
        </w:tc>
        <w:tc>
          <w:tcPr>
            <w:tcW w:w="220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河南省凯胜建设工程有限公司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建筑工程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施工总承包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技术负责人业绩1不符合要求</w:t>
            </w:r>
          </w:p>
        </w:tc>
        <w:tc>
          <w:tcPr>
            <w:tcW w:w="76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增项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钢结构工程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环保工程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建筑机电安装工程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模板脚手架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不分等级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技术工人18人不符合专业要求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河南华泰粮油机械股份有限公司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环保工程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增项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11</w:t>
            </w:r>
          </w:p>
        </w:tc>
        <w:tc>
          <w:tcPr>
            <w:tcW w:w="220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河南省争辉防腐安装建设有限公司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建筑机电安装工程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增项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20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施工劳务不分等级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河南换杰建筑劳务有限公司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模板脚手架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专业承包 不分等级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1、净资产无法认定；2、工程序列中级职称中常云鹏、时金辉专业不符合要求。</w:t>
            </w:r>
          </w:p>
        </w:tc>
        <w:tc>
          <w:tcPr>
            <w:tcW w:w="7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增项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13</w:t>
            </w:r>
          </w:p>
        </w:tc>
        <w:tc>
          <w:tcPr>
            <w:tcW w:w="22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河南锦意和建筑劳务有限公司</w:t>
            </w:r>
          </w:p>
        </w:tc>
        <w:tc>
          <w:tcPr>
            <w:tcW w:w="25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施工劳务不分等级</w:t>
            </w:r>
          </w:p>
        </w:tc>
        <w:tc>
          <w:tcPr>
            <w:tcW w:w="9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同意</w:t>
            </w:r>
          </w:p>
        </w:tc>
        <w:tc>
          <w:tcPr>
            <w:tcW w:w="29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7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0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首次申请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E5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vsbcontent_start"/>
    <w:basedOn w:val="1"/>
    <w:uiPriority w:val="0"/>
    <w:pPr>
      <w:spacing w:before="0" w:beforeAutospacing="0" w:after="0" w:afterAutospacing="0"/>
      <w:ind w:left="0" w:right="0" w:firstLine="420"/>
      <w:jc w:val="left"/>
    </w:pPr>
    <w:rPr>
      <w:kern w:val="0"/>
      <w:sz w:val="21"/>
      <w:szCs w:val="21"/>
      <w:lang w:val="en-US" w:eastAsia="zh-CN" w:bidi="ar"/>
    </w:rPr>
  </w:style>
  <w:style w:type="paragraph" w:customStyle="1" w:styleId="7">
    <w:name w:val="vsbcontent_end"/>
    <w:basedOn w:val="1"/>
    <w:uiPriority w:val="0"/>
    <w:pPr>
      <w:spacing w:before="0" w:beforeAutospacing="0" w:after="0" w:afterAutospacing="0"/>
      <w:ind w:left="0" w:right="0" w:firstLine="420"/>
      <w:jc w:val="left"/>
    </w:pPr>
    <w:rPr>
      <w:kern w:val="0"/>
      <w:sz w:val="21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2019-11-11T02:41:42Z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