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BF18">
      <w:pPr>
        <w:pStyle w:val="14"/>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7</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29</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7C5DCEEF">
      <w:pPr>
        <w:pStyle w:val="14"/>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794A2676">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29</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8</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日（5个工作日）。</w:t>
      </w:r>
    </w:p>
    <w:p w14:paraId="6AF4FD29">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43345814">
      <w:pPr>
        <w:pStyle w:val="1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1BA871D8">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18B1375B">
      <w:pPr>
        <w:pStyle w:val="14"/>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6"/>
        <w:tblW w:w="8115" w:type="dxa"/>
        <w:tblInd w:w="0" w:type="dxa"/>
        <w:tblLayout w:type="autofit"/>
        <w:tblCellMar>
          <w:top w:w="15" w:type="dxa"/>
          <w:left w:w="15" w:type="dxa"/>
          <w:bottom w:w="15" w:type="dxa"/>
          <w:right w:w="15" w:type="dxa"/>
        </w:tblCellMar>
      </w:tblPr>
      <w:tblGrid>
        <w:gridCol w:w="399"/>
        <w:gridCol w:w="389"/>
        <w:gridCol w:w="997"/>
        <w:gridCol w:w="1103"/>
        <w:gridCol w:w="714"/>
        <w:gridCol w:w="860"/>
        <w:gridCol w:w="3653"/>
      </w:tblGrid>
      <w:tr w14:paraId="65ACC274">
        <w:tblPrEx>
          <w:tblCellMar>
            <w:top w:w="15" w:type="dxa"/>
            <w:left w:w="15" w:type="dxa"/>
            <w:bottom w:w="15" w:type="dxa"/>
            <w:right w:w="15" w:type="dxa"/>
          </w:tblCellMar>
        </w:tblPrEx>
        <w:trPr>
          <w:trHeight w:val="90" w:hRule="atLeast"/>
        </w:trPr>
        <w:tc>
          <w:tcPr>
            <w:tcW w:w="399"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A6B5694">
            <w:pPr>
              <w:pStyle w:val="14"/>
              <w:widowControl/>
              <w:spacing w:beforeAutospacing="0" w:afterAutospacing="0" w:line="300" w:lineRule="atLeast"/>
              <w:jc w:val="center"/>
            </w:pPr>
            <w:r>
              <w:rPr>
                <w:rStyle w:val="18"/>
                <w:rFonts w:hint="eastAsia" w:ascii="宋体" w:hAnsi="宋体" w:eastAsia="宋体" w:cs="宋体"/>
                <w:color w:val="000000"/>
                <w:sz w:val="18"/>
                <w:szCs w:val="18"/>
              </w:rPr>
              <w:t>序号</w:t>
            </w:r>
          </w:p>
        </w:tc>
        <w:tc>
          <w:tcPr>
            <w:tcW w:w="389"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C8903E9">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14:paraId="30286E85">
            <w:pPr>
              <w:pStyle w:val="14"/>
              <w:widowControl/>
              <w:spacing w:beforeAutospacing="0" w:afterAutospacing="0" w:line="300" w:lineRule="atLeast"/>
              <w:jc w:val="center"/>
            </w:pPr>
            <w:r>
              <w:rPr>
                <w:rStyle w:val="18"/>
                <w:rFonts w:hint="eastAsia" w:ascii="宋体" w:hAnsi="宋体" w:eastAsia="宋体" w:cs="宋体"/>
                <w:color w:val="000000"/>
                <w:sz w:val="18"/>
                <w:szCs w:val="18"/>
              </w:rPr>
              <w:t>单位</w:t>
            </w:r>
          </w:p>
        </w:tc>
        <w:tc>
          <w:tcPr>
            <w:tcW w:w="99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E8BB7E7">
            <w:pPr>
              <w:pStyle w:val="14"/>
              <w:widowControl/>
              <w:spacing w:beforeAutospacing="0" w:afterAutospacing="0" w:line="300" w:lineRule="atLeast"/>
              <w:jc w:val="center"/>
            </w:pPr>
            <w:r>
              <w:rPr>
                <w:rStyle w:val="18"/>
                <w:rFonts w:hint="eastAsia" w:ascii="宋体" w:hAnsi="宋体" w:eastAsia="宋体" w:cs="宋体"/>
                <w:color w:val="000000"/>
                <w:sz w:val="18"/>
                <w:szCs w:val="18"/>
              </w:rPr>
              <w:t>项目</w:t>
            </w:r>
          </w:p>
          <w:p w14:paraId="7F0822BE">
            <w:pPr>
              <w:pStyle w:val="14"/>
              <w:widowControl/>
              <w:spacing w:beforeAutospacing="0" w:afterAutospacing="0" w:line="300" w:lineRule="atLeast"/>
              <w:jc w:val="center"/>
            </w:pPr>
            <w:r>
              <w:rPr>
                <w:rStyle w:val="18"/>
                <w:rFonts w:hint="eastAsia" w:ascii="宋体" w:hAnsi="宋体" w:eastAsia="宋体" w:cs="宋体"/>
                <w:color w:val="000000"/>
                <w:sz w:val="18"/>
                <w:szCs w:val="18"/>
              </w:rPr>
              <w:t>名称</w:t>
            </w:r>
          </w:p>
        </w:tc>
        <w:tc>
          <w:tcPr>
            <w:tcW w:w="110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EA3DE2">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14:paraId="62603EDB">
            <w:pPr>
              <w:pStyle w:val="14"/>
              <w:widowControl/>
              <w:spacing w:beforeAutospacing="0" w:afterAutospacing="0" w:line="300" w:lineRule="atLeast"/>
              <w:jc w:val="center"/>
            </w:pPr>
            <w:r>
              <w:rPr>
                <w:rStyle w:val="18"/>
                <w:rFonts w:hint="eastAsia" w:ascii="宋体" w:hAnsi="宋体" w:eastAsia="宋体" w:cs="宋体"/>
                <w:color w:val="000000"/>
                <w:sz w:val="18"/>
                <w:szCs w:val="18"/>
              </w:rPr>
              <w:t>地点</w:t>
            </w:r>
          </w:p>
        </w:tc>
        <w:tc>
          <w:tcPr>
            <w:tcW w:w="714"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1630E2">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环境影响评价机构</w:t>
            </w:r>
          </w:p>
        </w:tc>
        <w:tc>
          <w:tcPr>
            <w:tcW w:w="86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7BEF97">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建设项目</w:t>
            </w:r>
          </w:p>
          <w:p w14:paraId="2DE72757">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概况</w:t>
            </w:r>
          </w:p>
        </w:tc>
        <w:tc>
          <w:tcPr>
            <w:tcW w:w="365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68E59E6">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主要环境影响及预防或减轻不良环境影响的对策和措施</w:t>
            </w:r>
          </w:p>
        </w:tc>
      </w:tr>
      <w:tr w14:paraId="5F3322A4">
        <w:tblPrEx>
          <w:tblCellMar>
            <w:top w:w="15" w:type="dxa"/>
            <w:left w:w="15" w:type="dxa"/>
            <w:bottom w:w="15" w:type="dxa"/>
            <w:right w:w="15" w:type="dxa"/>
          </w:tblCellMar>
        </w:tblPrEx>
        <w:trPr>
          <w:trHeight w:val="90" w:hRule="atLeast"/>
        </w:trPr>
        <w:tc>
          <w:tcPr>
            <w:tcW w:w="399"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3A898CFE">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389"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9A65FC9">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河南志赛塑业有限公司</w:t>
            </w:r>
          </w:p>
        </w:tc>
        <w:tc>
          <w:tcPr>
            <w:tcW w:w="99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266B92A">
            <w:pPr>
              <w:pStyle w:val="14"/>
              <w:widowControl/>
              <w:spacing w:beforeAutospacing="0" w:afterAutospacing="0" w:line="300" w:lineRule="atLeast"/>
              <w:jc w:val="center"/>
              <w:rPr>
                <w:rFonts w:hint="eastAsia" w:ascii="Times New Roman" w:hAnsi="Times New Roman"/>
                <w:color w:val="000000"/>
                <w:sz w:val="18"/>
                <w:szCs w:val="18"/>
              </w:rPr>
            </w:pPr>
            <w:r>
              <w:rPr>
                <w:rFonts w:hint="eastAsia" w:ascii="Times New Roman" w:hAnsi="Times New Roman"/>
                <w:color w:val="000000"/>
                <w:sz w:val="18"/>
                <w:szCs w:val="18"/>
              </w:rPr>
              <w:t>年产1500吨</w:t>
            </w:r>
          </w:p>
          <w:p w14:paraId="4F086DC1">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消泡母粒建设项目</w:t>
            </w:r>
            <w:r>
              <w:rPr>
                <w:rFonts w:hint="eastAsia" w:ascii="Times New Roman" w:hAnsi="Times New Roman"/>
                <w:color w:val="000000"/>
                <w:sz w:val="18"/>
                <w:szCs w:val="18"/>
                <w:lang w:eastAsia="zh-CN"/>
              </w:rPr>
              <w:t>（一期）</w:t>
            </w:r>
          </w:p>
        </w:tc>
        <w:tc>
          <w:tcPr>
            <w:tcW w:w="1103"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3A0EC25">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滑县道口镇解放路与北环路交叉口北200米路西</w:t>
            </w:r>
          </w:p>
        </w:tc>
        <w:tc>
          <w:tcPr>
            <w:tcW w:w="714"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EB121">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val="en-US" w:eastAsia="zh-CN"/>
              </w:rPr>
              <w:t>河南省科悦环境技术</w:t>
            </w:r>
            <w:r>
              <w:rPr>
                <w:rFonts w:ascii="Times New Roman" w:hAnsi="Times New Roman"/>
                <w:color w:val="000000"/>
                <w:sz w:val="18"/>
                <w:szCs w:val="18"/>
              </w:rPr>
              <w:t>有限公司</w:t>
            </w:r>
          </w:p>
        </w:tc>
        <w:tc>
          <w:tcPr>
            <w:tcW w:w="86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8A543A">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占地面积为</w:t>
            </w:r>
            <w:r>
              <w:rPr>
                <w:rFonts w:hint="eastAsia" w:ascii="Times New Roman" w:hAnsi="Times New Roman"/>
                <w:color w:val="000000"/>
                <w:sz w:val="18"/>
                <w:szCs w:val="18"/>
                <w:lang w:val="en-US" w:eastAsia="zh-CN"/>
              </w:rPr>
              <w:t>2500</w:t>
            </w:r>
            <w:r>
              <w:rPr>
                <w:rFonts w:hint="eastAsia" w:ascii="Times New Roman" w:hAnsi="Times New Roman"/>
                <w:color w:val="000000"/>
                <w:sz w:val="18"/>
                <w:szCs w:val="18"/>
              </w:rPr>
              <w:t>m</w:t>
            </w:r>
            <w:r>
              <w:rPr>
                <w:rFonts w:hint="eastAsia" w:ascii="Times New Roman" w:hAnsi="Times New Roman"/>
                <w:color w:val="000000"/>
                <w:sz w:val="18"/>
                <w:szCs w:val="18"/>
                <w:vertAlign w:val="superscript"/>
              </w:rPr>
              <w:t>2</w:t>
            </w:r>
            <w:r>
              <w:rPr>
                <w:rFonts w:hint="eastAsia" w:ascii="Times New Roman" w:hAnsi="Times New Roman"/>
                <w:color w:val="000000"/>
                <w:sz w:val="18"/>
                <w:szCs w:val="18"/>
              </w:rPr>
              <w:t>，总投资</w:t>
            </w:r>
            <w:r>
              <w:rPr>
                <w:rFonts w:hint="eastAsia" w:ascii="Times New Roman" w:hAnsi="Times New Roman"/>
                <w:color w:val="000000"/>
                <w:sz w:val="18"/>
                <w:szCs w:val="18"/>
                <w:lang w:val="en-US" w:eastAsia="zh-CN"/>
              </w:rPr>
              <w:t>1</w:t>
            </w:r>
            <w:r>
              <w:rPr>
                <w:rFonts w:hint="eastAsia" w:ascii="Times New Roman" w:hAnsi="Times New Roman"/>
                <w:color w:val="000000"/>
                <w:sz w:val="18"/>
                <w:szCs w:val="18"/>
              </w:rPr>
              <w:t>00万元，环保投资</w:t>
            </w:r>
            <w:r>
              <w:rPr>
                <w:rFonts w:hint="eastAsia" w:ascii="Times New Roman" w:hAnsi="Times New Roman"/>
                <w:color w:val="000000"/>
                <w:sz w:val="18"/>
                <w:szCs w:val="18"/>
                <w:lang w:val="en-US" w:eastAsia="zh-CN"/>
              </w:rPr>
              <w:t>26</w:t>
            </w:r>
            <w:r>
              <w:rPr>
                <w:rFonts w:hint="eastAsia" w:ascii="Times New Roman" w:hAnsi="Times New Roman"/>
                <w:color w:val="000000"/>
                <w:sz w:val="18"/>
                <w:szCs w:val="18"/>
              </w:rPr>
              <w:t>万元。</w:t>
            </w:r>
          </w:p>
        </w:tc>
        <w:tc>
          <w:tcPr>
            <w:tcW w:w="365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3EA69A7">
            <w:pPr>
              <w:keepNext w:val="0"/>
              <w:keepLines w:val="0"/>
              <w:widowControl/>
              <w:numPr>
                <w:ilvl w:val="0"/>
                <w:numId w:val="0"/>
              </w:numPr>
              <w:suppressLineNumbers w:val="0"/>
              <w:ind w:leftChars="0" w:firstLine="360" w:firstLineChars="200"/>
              <w:jc w:val="left"/>
              <w:rPr>
                <w:rFonts w:hint="default" w:ascii="Times New Roman" w:hAnsi="Times New Roman"/>
                <w:color w:val="000000"/>
                <w:sz w:val="18"/>
                <w:szCs w:val="18"/>
                <w:lang w:val="en-US" w:eastAsia="zh-CN"/>
              </w:rPr>
            </w:pPr>
            <w:r>
              <w:rPr>
                <w:rFonts w:ascii="Times New Roman" w:hAnsi="Times New Roman"/>
                <w:color w:val="000000"/>
                <w:sz w:val="18"/>
                <w:szCs w:val="18"/>
              </w:rPr>
              <w:t>1. 废气：</w:t>
            </w:r>
            <w:r>
              <w:rPr>
                <w:rFonts w:hint="eastAsia" w:ascii="Times New Roman" w:hAnsi="Times New Roman"/>
                <w:color w:val="000000"/>
                <w:sz w:val="18"/>
                <w:szCs w:val="18"/>
              </w:rPr>
              <w:t>上料机投料口、破碎机出料口二次密闭</w:t>
            </w:r>
            <w:r>
              <w:rPr>
                <w:rFonts w:hint="eastAsia" w:ascii="Times New Roman" w:hAnsi="Times New Roman"/>
                <w:color w:val="000000"/>
                <w:sz w:val="18"/>
                <w:szCs w:val="18"/>
                <w:lang w:eastAsia="zh-CN"/>
              </w:rPr>
              <w:t>，</w:t>
            </w:r>
            <w:r>
              <w:rPr>
                <w:rFonts w:hint="eastAsia" w:ascii="Times New Roman" w:hAnsi="Times New Roman"/>
                <w:color w:val="000000"/>
                <w:sz w:val="18"/>
                <w:szCs w:val="18"/>
              </w:rPr>
              <w:t>投料及破碎</w:t>
            </w:r>
            <w:r>
              <w:rPr>
                <w:rFonts w:hint="eastAsia" w:ascii="Times New Roman" w:hAnsi="Times New Roman"/>
                <w:color w:val="000000"/>
                <w:sz w:val="18"/>
                <w:szCs w:val="18"/>
                <w:lang w:val="en-US" w:eastAsia="zh-CN"/>
              </w:rPr>
              <w:t>粉尘经集气罩收集至袋式除尘器处理后通过15米高排气筒排放；挤出口二次密闭，挤出废气经集气罩收集至二级活性炭处理后通过15米高排气筒排放。</w:t>
            </w:r>
            <w:r>
              <w:rPr>
                <w:rFonts w:hint="eastAsia" w:ascii="Times New Roman" w:hAnsi="Times New Roman"/>
                <w:color w:val="000000"/>
                <w:sz w:val="18"/>
                <w:szCs w:val="18"/>
              </w:rPr>
              <w:t>废气排放须满足《合成树脂工业污染物排放标准》（GB31572-2015）（含2024年修改单）</w:t>
            </w:r>
            <w:r>
              <w:rPr>
                <w:rFonts w:hint="eastAsia" w:ascii="Times New Roman" w:hAnsi="Times New Roman"/>
                <w:color w:val="000000"/>
                <w:sz w:val="18"/>
                <w:szCs w:val="18"/>
                <w:lang w:val="en-US" w:eastAsia="zh-CN"/>
              </w:rPr>
              <w:t>限值</w:t>
            </w:r>
            <w:r>
              <w:rPr>
                <w:rFonts w:hint="eastAsia" w:ascii="Times New Roman" w:hAnsi="Times New Roman"/>
                <w:color w:val="000000"/>
                <w:sz w:val="18"/>
                <w:szCs w:val="18"/>
                <w:lang w:eastAsia="zh-CN"/>
              </w:rPr>
              <w:t>、《挥发性有机物无组织排放控制标准》（GB37822-2019）表 A.1厂区内 VOCs无组织特别排放限值、《河南省重污染天气重点行业应急减排措施制定技术指南》（2024年修订版）-塑料制品企业A级</w:t>
            </w:r>
            <w:r>
              <w:rPr>
                <w:rFonts w:hint="eastAsia" w:ascii="Times New Roman" w:hAnsi="Times New Roman"/>
                <w:color w:val="000000"/>
                <w:sz w:val="18"/>
                <w:szCs w:val="18"/>
                <w:lang w:val="en-US" w:eastAsia="zh-CN"/>
              </w:rPr>
              <w:t>指标要求</w:t>
            </w:r>
            <w:r>
              <w:rPr>
                <w:rFonts w:hint="eastAsia" w:ascii="Times New Roman" w:hAnsi="Times New Roman"/>
                <w:color w:val="000000"/>
                <w:sz w:val="18"/>
                <w:szCs w:val="18"/>
                <w:lang w:eastAsia="zh-CN"/>
              </w:rPr>
              <w:t>、《安阳市2019年工业大气污染治理5个专项实施方案》（安环攻坚办〔2019〕196号）</w:t>
            </w:r>
            <w:r>
              <w:rPr>
                <w:rFonts w:hint="eastAsia" w:ascii="Times New Roman" w:hAnsi="Times New Roman"/>
                <w:color w:val="000000"/>
                <w:sz w:val="18"/>
                <w:szCs w:val="18"/>
                <w:lang w:val="en-US" w:eastAsia="zh-CN"/>
              </w:rPr>
              <w:t>要求及</w:t>
            </w:r>
            <w:r>
              <w:rPr>
                <w:rFonts w:hint="eastAsia" w:ascii="Times New Roman" w:hAnsi="Times New Roman"/>
                <w:color w:val="000000"/>
                <w:sz w:val="18"/>
                <w:szCs w:val="18"/>
                <w:lang w:eastAsia="zh-CN"/>
              </w:rPr>
              <w:t>《关于全省开展工业企业挥发性有机物专项治理工作中排放建议值的通知》（豫环攻坚办〔2017〕162号）附件2</w:t>
            </w:r>
            <w:r>
              <w:rPr>
                <w:rFonts w:hint="eastAsia" w:ascii="Times New Roman" w:hAnsi="Times New Roman"/>
                <w:color w:val="000000"/>
                <w:sz w:val="18"/>
                <w:szCs w:val="18"/>
                <w:lang w:val="en-US" w:eastAsia="zh-CN"/>
              </w:rPr>
              <w:t>相关要求。</w:t>
            </w:r>
          </w:p>
          <w:p w14:paraId="0998FBBB">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lang w:val="en-US" w:eastAsia="zh-CN"/>
              </w:rPr>
            </w:pPr>
            <w:r>
              <w:rPr>
                <w:rFonts w:ascii="Times New Roman" w:hAnsi="Times New Roman"/>
                <w:color w:val="000000"/>
                <w:sz w:val="18"/>
                <w:szCs w:val="18"/>
              </w:rPr>
              <w:t>2. 废水：</w:t>
            </w:r>
            <w:r>
              <w:rPr>
                <w:rFonts w:hint="eastAsia" w:ascii="Times New Roman" w:hAnsi="Times New Roman"/>
                <w:color w:val="000000"/>
                <w:sz w:val="18"/>
                <w:szCs w:val="18"/>
              </w:rPr>
              <w:t>消泡母粒挤出工序冷却水</w:t>
            </w:r>
            <w:r>
              <w:rPr>
                <w:rFonts w:hint="eastAsia" w:ascii="Times New Roman" w:hAnsi="Times New Roman"/>
                <w:color w:val="000000"/>
                <w:sz w:val="18"/>
                <w:szCs w:val="18"/>
                <w:lang w:val="en-US" w:eastAsia="zh-CN"/>
              </w:rPr>
              <w:t>经循环冷却水池（10m3）冷却后</w:t>
            </w:r>
            <w:r>
              <w:rPr>
                <w:rFonts w:hint="eastAsia" w:ascii="Times New Roman" w:hAnsi="Times New Roman"/>
                <w:color w:val="000000"/>
                <w:sz w:val="18"/>
                <w:szCs w:val="18"/>
              </w:rPr>
              <w:t>循环使用，定期补充新鲜水，不外排</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生活污水依托河南兴高管业有限公司现有化粪池（160m3）处理后定期清掏用于周围农田施肥，不外排。</w:t>
            </w:r>
          </w:p>
          <w:p w14:paraId="1419CA0F">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r>
              <w:rPr>
                <w:rFonts w:ascii="Times New Roman" w:hAnsi="Times New Roman"/>
                <w:color w:val="000000"/>
                <w:sz w:val="18"/>
                <w:szCs w:val="18"/>
              </w:rPr>
              <w:t>3. 噪声：</w:t>
            </w:r>
            <w:r>
              <w:rPr>
                <w:rFonts w:hint="eastAsia" w:ascii="Times New Roman" w:hAnsi="Times New Roman"/>
                <w:color w:val="000000"/>
                <w:sz w:val="18"/>
                <w:szCs w:val="18"/>
                <w:lang w:val="en-US" w:eastAsia="zh-CN"/>
              </w:rPr>
              <w:t>上料机、混料机、挤出机等</w:t>
            </w:r>
            <w:r>
              <w:rPr>
                <w:rFonts w:hint="eastAsia" w:ascii="Times New Roman" w:hAnsi="Times New Roman"/>
                <w:color w:val="000000"/>
                <w:sz w:val="18"/>
                <w:szCs w:val="18"/>
              </w:rPr>
              <w:t>设备运行时产生的噪声，通过选用低噪声设备、基座减震、车间隔声等措施后，厂界噪声排放须满足《工业企业厂界环境噪声排放标准》（GB12348-2008）2类标准。</w:t>
            </w:r>
          </w:p>
          <w:p w14:paraId="25927019">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r>
              <w:rPr>
                <w:rFonts w:ascii="Times New Roman" w:hAnsi="Times New Roman"/>
                <w:color w:val="000000"/>
                <w:sz w:val="18"/>
                <w:szCs w:val="18"/>
              </w:rPr>
              <w:t>4. 固体废物：</w:t>
            </w:r>
            <w:r>
              <w:rPr>
                <w:rFonts w:hint="eastAsia" w:ascii="Times New Roman" w:hAnsi="Times New Roman"/>
                <w:color w:val="000000"/>
                <w:sz w:val="18"/>
                <w:szCs w:val="18"/>
                <w:lang w:val="en-US" w:eastAsia="zh-CN"/>
              </w:rPr>
              <w:t>废包装袋、除尘器收尘经</w:t>
            </w:r>
            <w:r>
              <w:rPr>
                <w:rFonts w:hint="eastAsia" w:ascii="Times New Roman" w:hAnsi="Times New Roman"/>
                <w:color w:val="000000"/>
                <w:sz w:val="18"/>
                <w:szCs w:val="18"/>
              </w:rPr>
              <w:t>收集后暂存一般固废暂存间</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10m2）</w:t>
            </w:r>
            <w:r>
              <w:rPr>
                <w:rFonts w:hint="eastAsia" w:ascii="Times New Roman" w:hAnsi="Times New Roman"/>
                <w:color w:val="000000"/>
                <w:sz w:val="18"/>
                <w:szCs w:val="18"/>
              </w:rPr>
              <w:t>，定期外售</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不合格品经</w:t>
            </w:r>
            <w:r>
              <w:rPr>
                <w:rFonts w:hint="eastAsia" w:ascii="Times New Roman" w:hAnsi="Times New Roman"/>
                <w:color w:val="000000"/>
                <w:sz w:val="18"/>
                <w:szCs w:val="18"/>
              </w:rPr>
              <w:t>收集后回用于生产</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废活性炭、废润滑油经收集后暂存于危废暂存间（10m2），定期就近交由有资质单位处置。生活垃圾由垃圾桶收集后，由环卫部门统一清运处理。</w:t>
            </w:r>
            <w:r>
              <w:rPr>
                <w:rFonts w:hint="eastAsia" w:ascii="Times New Roman" w:hAnsi="Times New Roman"/>
                <w:color w:val="000000"/>
                <w:sz w:val="18"/>
                <w:szCs w:val="18"/>
              </w:rPr>
              <w:t>一般固体废物暂存应满足《一般工业固体废物贮存和填埋污染控制标准》（GB18599 -2020）要求，危险废物暂存应满足《危险废物贮存污染控制标准》（GB18597-2023）要求</w:t>
            </w:r>
            <w:r>
              <w:rPr>
                <w:rFonts w:ascii="Times New Roman" w:hAnsi="Times New Roman"/>
                <w:color w:val="000000"/>
                <w:sz w:val="18"/>
                <w:szCs w:val="18"/>
              </w:rPr>
              <w:t>。</w:t>
            </w:r>
          </w:p>
          <w:p w14:paraId="49322209">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bookmarkStart w:id="0" w:name="_GoBack"/>
            <w:bookmarkEnd w:id="0"/>
          </w:p>
        </w:tc>
      </w:tr>
    </w:tbl>
    <w:p w14:paraId="4C4935B6">
      <w:pPr>
        <w:pStyle w:val="14"/>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3"/>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0B652750"/>
    <w:rsid w:val="126D0F3F"/>
    <w:rsid w:val="159D7523"/>
    <w:rsid w:val="16A91F4C"/>
    <w:rsid w:val="23BC64AB"/>
    <w:rsid w:val="28B71175"/>
    <w:rsid w:val="29F8185A"/>
    <w:rsid w:val="2ADD44ED"/>
    <w:rsid w:val="2C0676F0"/>
    <w:rsid w:val="2DC302F1"/>
    <w:rsid w:val="2DC86D5C"/>
    <w:rsid w:val="31811015"/>
    <w:rsid w:val="383B30F1"/>
    <w:rsid w:val="3A25474B"/>
    <w:rsid w:val="3A555B39"/>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Autospacing="1" w:afterAutospacing="1"/>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rPr>
  </w:style>
  <w:style w:type="paragraph" w:styleId="7">
    <w:name w:val="annotation text"/>
    <w:basedOn w:val="1"/>
    <w:qFormat/>
    <w:uiPriority w:val="0"/>
    <w:pPr>
      <w:jc w:val="left"/>
    </w:pPr>
    <w:rPr>
      <w:kern w:val="0"/>
      <w:sz w:val="24"/>
      <w:szCs w:val="20"/>
    </w:rPr>
  </w:style>
  <w:style w:type="paragraph" w:styleId="8">
    <w:name w:val="Body Text"/>
    <w:basedOn w:val="1"/>
    <w:next w:val="1"/>
    <w:qFormat/>
    <w:uiPriority w:val="0"/>
    <w:rPr>
      <w:b/>
      <w:bCs/>
      <w:sz w:val="24"/>
    </w:rPr>
  </w:style>
  <w:style w:type="paragraph" w:styleId="9">
    <w:name w:val="Body Text Indent"/>
    <w:basedOn w:val="1"/>
    <w:next w:val="1"/>
    <w:qFormat/>
    <w:uiPriority w:val="0"/>
    <w:pPr>
      <w:ind w:left="420" w:leftChars="200"/>
    </w:p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9"/>
    <w:next w:val="1"/>
    <w:qFormat/>
    <w:uiPriority w:val="0"/>
    <w:pPr>
      <w:ind w:firstLine="200" w:firstLineChars="200"/>
    </w:pPr>
    <w:rPr>
      <w:szCs w:val="21"/>
    </w:r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character" w:customStyle="1" w:styleId="20">
    <w:name w:val="页眉 Char"/>
    <w:basedOn w:val="17"/>
    <w:link w:val="12"/>
    <w:qFormat/>
    <w:uiPriority w:val="0"/>
    <w:rPr>
      <w:rFonts w:asciiTheme="minorHAnsi" w:hAnsiTheme="minorHAnsi" w:eastAsiaTheme="minorEastAsia" w:cstheme="minorBidi"/>
      <w:kern w:val="2"/>
      <w:sz w:val="18"/>
      <w:szCs w:val="18"/>
    </w:rPr>
  </w:style>
  <w:style w:type="character" w:customStyle="1" w:styleId="21">
    <w:name w:val="页脚 Char"/>
    <w:basedOn w:val="17"/>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1002</Words>
  <Characters>1127</Characters>
  <Lines>1</Lines>
  <Paragraphs>2</Paragraphs>
  <TotalTime>0</TotalTime>
  <ScaleCrop>false</ScaleCrop>
  <LinksUpToDate>false</LinksUpToDate>
  <CharactersWithSpaces>1143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2025-08-11T08:25:36Z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