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7BF18">
      <w:pPr>
        <w:pStyle w:val="12"/>
        <w:widowControl/>
        <w:spacing w:line="360" w:lineRule="auto"/>
        <w:jc w:val="center"/>
        <w:rPr>
          <w:rFonts w:ascii="方正小标宋简体" w:hAnsi="方正小标宋简体" w:eastAsia="方正小标宋简体" w:cs="方正小标宋简体"/>
          <w:color w:val="333333"/>
          <w:sz w:val="30"/>
          <w:szCs w:val="30"/>
        </w:rPr>
      </w:pPr>
      <w:r>
        <w:rPr>
          <w:rFonts w:ascii="方正小标宋简体" w:hAnsi="方正小标宋简体" w:eastAsia="方正小标宋简体" w:cs="方正小标宋简体"/>
          <w:color w:val="333333"/>
          <w:sz w:val="30"/>
          <w:szCs w:val="30"/>
        </w:rPr>
        <w:t>关于</w:t>
      </w:r>
      <w:r>
        <w:rPr>
          <w:rFonts w:hint="eastAsia" w:ascii="方正小标宋简体" w:hAnsi="方正小标宋简体" w:eastAsia="方正小标宋简体" w:cs="方正小标宋简体"/>
          <w:color w:val="333333"/>
          <w:sz w:val="30"/>
          <w:szCs w:val="30"/>
        </w:rPr>
        <w:t>202</w:t>
      </w:r>
      <w:r>
        <w:rPr>
          <w:rFonts w:hint="eastAsia" w:ascii="方正小标宋简体" w:hAnsi="方正小标宋简体" w:eastAsia="方正小标宋简体" w:cs="方正小标宋简体"/>
          <w:color w:val="333333"/>
          <w:sz w:val="30"/>
          <w:szCs w:val="30"/>
          <w:lang w:val="en-US" w:eastAsia="zh-CN"/>
        </w:rPr>
        <w:t>6</w:t>
      </w:r>
      <w:r>
        <w:rPr>
          <w:rFonts w:hint="eastAsia" w:ascii="方正小标宋简体" w:hAnsi="方正小标宋简体" w:eastAsia="方正小标宋简体" w:cs="方正小标宋简体"/>
          <w:color w:val="333333"/>
          <w:sz w:val="30"/>
          <w:szCs w:val="30"/>
        </w:rPr>
        <w:t>年</w:t>
      </w:r>
      <w:r>
        <w:rPr>
          <w:rFonts w:hint="eastAsia" w:ascii="方正小标宋简体" w:hAnsi="方正小标宋简体" w:eastAsia="方正小标宋简体" w:cs="方正小标宋简体"/>
          <w:color w:val="333333"/>
          <w:sz w:val="30"/>
          <w:szCs w:val="30"/>
          <w:lang w:val="en-US" w:eastAsia="zh-CN"/>
        </w:rPr>
        <w:t>4</w:t>
      </w:r>
      <w:r>
        <w:rPr>
          <w:rFonts w:hint="eastAsia" w:ascii="方正小标宋简体" w:hAnsi="方正小标宋简体" w:eastAsia="方正小标宋简体" w:cs="方正小标宋简体"/>
          <w:color w:val="333333"/>
          <w:sz w:val="30"/>
          <w:szCs w:val="30"/>
        </w:rPr>
        <w:t>月</w:t>
      </w:r>
      <w:r>
        <w:rPr>
          <w:rFonts w:hint="eastAsia" w:ascii="方正小标宋简体" w:hAnsi="方正小标宋简体" w:eastAsia="方正小标宋简体" w:cs="方正小标宋简体"/>
          <w:color w:val="333333"/>
          <w:sz w:val="30"/>
          <w:szCs w:val="30"/>
          <w:lang w:val="en-US" w:eastAsia="zh-CN"/>
        </w:rPr>
        <w:t>10</w:t>
      </w:r>
      <w:r>
        <w:rPr>
          <w:rFonts w:ascii="方正小标宋简体" w:hAnsi="方正小标宋简体" w:eastAsia="方正小标宋简体" w:cs="方正小标宋简体"/>
          <w:color w:val="333333"/>
          <w:sz w:val="30"/>
          <w:szCs w:val="30"/>
        </w:rPr>
        <w:t>日</w:t>
      </w:r>
      <w:r>
        <w:rPr>
          <w:rFonts w:hint="eastAsia" w:ascii="方正小标宋简体" w:hAnsi="方正小标宋简体" w:eastAsia="方正小标宋简体" w:cs="方正小标宋简体"/>
          <w:color w:val="333333"/>
          <w:sz w:val="30"/>
          <w:szCs w:val="30"/>
        </w:rPr>
        <w:t>拟作出的建设项目环境影响评价文件</w:t>
      </w:r>
    </w:p>
    <w:p w14:paraId="7C5DCEEF">
      <w:pPr>
        <w:pStyle w:val="12"/>
        <w:widowControl/>
        <w:spacing w:line="360" w:lineRule="auto"/>
        <w:jc w:val="center"/>
        <w:rPr>
          <w:rFonts w:ascii="方正小标宋简体" w:hAnsi="方正小标宋简体" w:eastAsia="方正小标宋简体" w:cs="方正小标宋简体"/>
          <w:color w:val="333333"/>
          <w:sz w:val="30"/>
          <w:szCs w:val="30"/>
        </w:rPr>
      </w:pPr>
      <w:r>
        <w:rPr>
          <w:rFonts w:hint="eastAsia" w:ascii="方正小标宋简体" w:hAnsi="方正小标宋简体" w:eastAsia="方正小标宋简体" w:cs="方正小标宋简体"/>
          <w:color w:val="333333"/>
          <w:sz w:val="30"/>
          <w:szCs w:val="30"/>
        </w:rPr>
        <w:t>批复决定的公示</w:t>
      </w:r>
    </w:p>
    <w:p w14:paraId="794A2676">
      <w:pPr>
        <w:pStyle w:val="12"/>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333333"/>
          <w:sz w:val="19"/>
          <w:szCs w:val="19"/>
          <w:shd w:val="clear" w:color="auto" w:fill="FFFFFF"/>
        </w:rPr>
        <w:t>  </w:t>
      </w:r>
      <w:r>
        <w:rPr>
          <w:rFonts w:hint="eastAsia" w:ascii="宋体" w:hAnsi="宋体" w:eastAsia="宋体" w:cs="宋体"/>
          <w:color w:val="000000"/>
          <w:sz w:val="21"/>
          <w:szCs w:val="21"/>
          <w:shd w:val="clear" w:color="auto" w:fill="FFFFFF"/>
        </w:rPr>
        <w:t>根据建设项目环境影响评价审批程序的有关规定，经审议，我局拟对1个建设项目环境影响评价文件作出审批意见。为保证审批意见的严肃性和公正性，现将各建设项目环境影响评价文件的基本情况予以公示。如有异议，请在公示期内反馈我局环评科。公示期为202</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年</w:t>
      </w:r>
      <w:r>
        <w:rPr>
          <w:rFonts w:hint="eastAsia" w:ascii="宋体" w:hAnsi="宋体" w:eastAsia="宋体" w:cs="宋体"/>
          <w:color w:val="000000"/>
          <w:sz w:val="21"/>
          <w:szCs w:val="21"/>
          <w:shd w:val="clear" w:color="auto" w:fill="FFFFFF"/>
          <w:lang w:val="en-US" w:eastAsia="zh-CN"/>
        </w:rPr>
        <w:t>4</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10</w:t>
      </w:r>
      <w:r>
        <w:rPr>
          <w:rFonts w:hint="eastAsia" w:ascii="宋体" w:hAnsi="宋体" w:eastAsia="宋体" w:cs="宋体"/>
          <w:color w:val="000000"/>
          <w:sz w:val="21"/>
          <w:szCs w:val="21"/>
          <w:shd w:val="clear" w:color="auto" w:fill="FFFFFF"/>
        </w:rPr>
        <w:t>日－202</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年</w:t>
      </w:r>
      <w:r>
        <w:rPr>
          <w:rFonts w:hint="eastAsia" w:ascii="宋体" w:hAnsi="宋体" w:eastAsia="宋体" w:cs="宋体"/>
          <w:color w:val="000000"/>
          <w:sz w:val="21"/>
          <w:szCs w:val="21"/>
          <w:shd w:val="clear" w:color="auto" w:fill="FFFFFF"/>
          <w:lang w:val="en-US" w:eastAsia="zh-CN"/>
        </w:rPr>
        <w:t>4</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16</w:t>
      </w:r>
      <w:r>
        <w:rPr>
          <w:rFonts w:hint="eastAsia" w:ascii="宋体" w:hAnsi="宋体" w:eastAsia="宋体" w:cs="宋体"/>
          <w:color w:val="000000"/>
          <w:sz w:val="21"/>
          <w:szCs w:val="21"/>
          <w:shd w:val="clear" w:color="auto" w:fill="FFFFFF"/>
        </w:rPr>
        <w:t>日（5个工作日）。</w:t>
      </w:r>
    </w:p>
    <w:p w14:paraId="6AF4FD29">
      <w:pPr>
        <w:pStyle w:val="12"/>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电话：0372—8181590</w:t>
      </w:r>
    </w:p>
    <w:p w14:paraId="1C809872">
      <w:pPr>
        <w:pStyle w:val="12"/>
        <w:widowControl/>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rPr>
        <w:t>    通讯地址：</w:t>
      </w:r>
      <w:r>
        <w:rPr>
          <w:rFonts w:hint="eastAsia"/>
          <w:color w:val="000000"/>
          <w:sz w:val="21"/>
          <w:szCs w:val="21"/>
        </w:rPr>
        <w:t>滑县创业大道与欧阳路交叉口向东50米路北</w:t>
      </w:r>
      <w:r>
        <w:rPr>
          <w:rFonts w:hint="eastAsia" w:ascii="宋体" w:hAnsi="宋体" w:eastAsia="宋体" w:cs="宋体"/>
          <w:color w:val="000000"/>
          <w:sz w:val="21"/>
          <w:szCs w:val="21"/>
        </w:rPr>
        <w:t>（456400）</w:t>
      </w:r>
    </w:p>
    <w:p w14:paraId="1BA871D8">
      <w:pPr>
        <w:pStyle w:val="12"/>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听证告知：依据《中华人民共和国行政许可法》，自公示起五个工作日内申请人、有重大利益关系的利害关系人可对以下拟作出的建设项目环境影响评价文件批复决定要求听证。</w:t>
      </w:r>
    </w:p>
    <w:p w14:paraId="18B1375B">
      <w:pPr>
        <w:pStyle w:val="12"/>
        <w:widowControl/>
        <w:shd w:val="clear" w:color="auto" w:fill="FFFFFF"/>
        <w:spacing w:before="75" w:beforeAutospacing="0" w:after="75" w:afterAutospacing="0"/>
        <w:jc w:val="both"/>
        <w:rPr>
          <w:rFonts w:ascii="sans-serif" w:hAnsi="sans-serif" w:eastAsia="sans-serif" w:cs="sans-serif"/>
          <w:color w:val="000000"/>
        </w:rPr>
      </w:pPr>
      <w:r>
        <w:rPr>
          <w:rFonts w:hint="eastAsia" w:ascii="宋体" w:hAnsi="宋体" w:eastAsia="宋体" w:cs="宋体"/>
          <w:color w:val="000000"/>
          <w:sz w:val="21"/>
          <w:szCs w:val="21"/>
          <w:shd w:val="clear" w:color="auto" w:fill="FFFFFF"/>
        </w:rPr>
        <w:t>拟审批的建设项目环境影响文件</w:t>
      </w:r>
    </w:p>
    <w:tbl>
      <w:tblPr>
        <w:tblStyle w:val="15"/>
        <w:tblW w:w="8115" w:type="dxa"/>
        <w:tblInd w:w="0" w:type="dxa"/>
        <w:tblLayout w:type="autofit"/>
        <w:tblCellMar>
          <w:top w:w="15" w:type="dxa"/>
          <w:left w:w="15" w:type="dxa"/>
          <w:bottom w:w="15" w:type="dxa"/>
          <w:right w:w="15" w:type="dxa"/>
        </w:tblCellMar>
      </w:tblPr>
      <w:tblGrid>
        <w:gridCol w:w="399"/>
        <w:gridCol w:w="389"/>
        <w:gridCol w:w="997"/>
        <w:gridCol w:w="1103"/>
        <w:gridCol w:w="714"/>
        <w:gridCol w:w="860"/>
        <w:gridCol w:w="3653"/>
      </w:tblGrid>
      <w:tr w14:paraId="65ACC274">
        <w:tblPrEx>
          <w:tblCellMar>
            <w:top w:w="15" w:type="dxa"/>
            <w:left w:w="15" w:type="dxa"/>
            <w:bottom w:w="15" w:type="dxa"/>
            <w:right w:w="15" w:type="dxa"/>
          </w:tblCellMar>
        </w:tblPrEx>
        <w:trPr>
          <w:trHeight w:val="90" w:hRule="atLeast"/>
        </w:trPr>
        <w:tc>
          <w:tcPr>
            <w:tcW w:w="399" w:type="dxa"/>
            <w:tcBorders>
              <w:top w:val="single" w:color="auto" w:sz="6" w:space="0"/>
              <w:left w:val="single" w:color="auto" w:sz="6" w:space="0"/>
              <w:bottom w:val="single" w:color="auto" w:sz="4" w:space="0"/>
              <w:right w:val="single" w:color="auto" w:sz="6" w:space="0"/>
            </w:tcBorders>
            <w:shd w:val="clear" w:color="auto" w:fill="auto"/>
            <w:tcMar>
              <w:top w:w="0" w:type="dxa"/>
              <w:left w:w="0" w:type="dxa"/>
              <w:bottom w:w="0" w:type="dxa"/>
              <w:right w:w="0" w:type="dxa"/>
            </w:tcMar>
            <w:vAlign w:val="center"/>
          </w:tcPr>
          <w:p w14:paraId="4A6B5694">
            <w:pPr>
              <w:pStyle w:val="12"/>
              <w:widowControl/>
              <w:spacing w:beforeAutospacing="0" w:afterAutospacing="0" w:line="300" w:lineRule="atLeast"/>
              <w:jc w:val="center"/>
            </w:pPr>
            <w:r>
              <w:rPr>
                <w:rStyle w:val="17"/>
                <w:rFonts w:hint="eastAsia" w:ascii="宋体" w:hAnsi="宋体" w:eastAsia="宋体" w:cs="宋体"/>
                <w:color w:val="000000"/>
                <w:sz w:val="18"/>
                <w:szCs w:val="18"/>
              </w:rPr>
              <w:t>序号</w:t>
            </w:r>
          </w:p>
        </w:tc>
        <w:tc>
          <w:tcPr>
            <w:tcW w:w="389"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C8903E9">
            <w:pPr>
              <w:pStyle w:val="12"/>
              <w:widowControl/>
              <w:spacing w:beforeAutospacing="0" w:afterAutospacing="0" w:line="300" w:lineRule="atLeast"/>
              <w:jc w:val="center"/>
            </w:pPr>
            <w:r>
              <w:rPr>
                <w:rStyle w:val="17"/>
                <w:rFonts w:hint="eastAsia" w:ascii="宋体" w:hAnsi="宋体" w:eastAsia="宋体" w:cs="宋体"/>
                <w:color w:val="000000"/>
                <w:sz w:val="18"/>
                <w:szCs w:val="18"/>
              </w:rPr>
              <w:t>建设</w:t>
            </w:r>
          </w:p>
          <w:p w14:paraId="30286E85">
            <w:pPr>
              <w:pStyle w:val="12"/>
              <w:widowControl/>
              <w:spacing w:beforeAutospacing="0" w:afterAutospacing="0" w:line="300" w:lineRule="atLeast"/>
              <w:jc w:val="center"/>
            </w:pPr>
            <w:r>
              <w:rPr>
                <w:rStyle w:val="17"/>
                <w:rFonts w:hint="eastAsia" w:ascii="宋体" w:hAnsi="宋体" w:eastAsia="宋体" w:cs="宋体"/>
                <w:color w:val="000000"/>
                <w:sz w:val="18"/>
                <w:szCs w:val="18"/>
              </w:rPr>
              <w:t>单位</w:t>
            </w:r>
          </w:p>
        </w:tc>
        <w:tc>
          <w:tcPr>
            <w:tcW w:w="997"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E8BB7E7">
            <w:pPr>
              <w:pStyle w:val="12"/>
              <w:widowControl/>
              <w:spacing w:beforeAutospacing="0" w:afterAutospacing="0" w:line="300" w:lineRule="atLeast"/>
              <w:jc w:val="center"/>
            </w:pPr>
            <w:r>
              <w:rPr>
                <w:rStyle w:val="17"/>
                <w:rFonts w:hint="eastAsia" w:ascii="宋体" w:hAnsi="宋体" w:eastAsia="宋体" w:cs="宋体"/>
                <w:color w:val="000000"/>
                <w:sz w:val="18"/>
                <w:szCs w:val="18"/>
              </w:rPr>
              <w:t>项目</w:t>
            </w:r>
          </w:p>
          <w:p w14:paraId="7F0822BE">
            <w:pPr>
              <w:pStyle w:val="12"/>
              <w:widowControl/>
              <w:spacing w:beforeAutospacing="0" w:afterAutospacing="0" w:line="300" w:lineRule="atLeast"/>
              <w:jc w:val="center"/>
            </w:pPr>
            <w:r>
              <w:rPr>
                <w:rStyle w:val="17"/>
                <w:rFonts w:hint="eastAsia" w:ascii="宋体" w:hAnsi="宋体" w:eastAsia="宋体" w:cs="宋体"/>
                <w:color w:val="000000"/>
                <w:sz w:val="18"/>
                <w:szCs w:val="18"/>
              </w:rPr>
              <w:t>名称</w:t>
            </w:r>
          </w:p>
        </w:tc>
        <w:tc>
          <w:tcPr>
            <w:tcW w:w="110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5EA3DE2">
            <w:pPr>
              <w:pStyle w:val="12"/>
              <w:widowControl/>
              <w:spacing w:beforeAutospacing="0" w:afterAutospacing="0" w:line="300" w:lineRule="atLeast"/>
              <w:jc w:val="center"/>
            </w:pPr>
            <w:r>
              <w:rPr>
                <w:rStyle w:val="17"/>
                <w:rFonts w:hint="eastAsia" w:ascii="宋体" w:hAnsi="宋体" w:eastAsia="宋体" w:cs="宋体"/>
                <w:color w:val="000000"/>
                <w:sz w:val="18"/>
                <w:szCs w:val="18"/>
              </w:rPr>
              <w:t>建设</w:t>
            </w:r>
          </w:p>
          <w:p w14:paraId="62603EDB">
            <w:pPr>
              <w:pStyle w:val="12"/>
              <w:widowControl/>
              <w:spacing w:beforeAutospacing="0" w:afterAutospacing="0" w:line="300" w:lineRule="atLeast"/>
              <w:jc w:val="center"/>
            </w:pPr>
            <w:r>
              <w:rPr>
                <w:rStyle w:val="17"/>
                <w:rFonts w:hint="eastAsia" w:ascii="宋体" w:hAnsi="宋体" w:eastAsia="宋体" w:cs="宋体"/>
                <w:color w:val="000000"/>
                <w:sz w:val="18"/>
                <w:szCs w:val="18"/>
              </w:rPr>
              <w:t>地点</w:t>
            </w:r>
          </w:p>
        </w:tc>
        <w:tc>
          <w:tcPr>
            <w:tcW w:w="714"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6D1630E2">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环境影响评价机构</w:t>
            </w:r>
          </w:p>
        </w:tc>
        <w:tc>
          <w:tcPr>
            <w:tcW w:w="860"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D7BEF97">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建设项目</w:t>
            </w:r>
          </w:p>
          <w:p w14:paraId="2DE72757">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概况</w:t>
            </w:r>
          </w:p>
        </w:tc>
        <w:tc>
          <w:tcPr>
            <w:tcW w:w="365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168E59E6">
            <w:pPr>
              <w:pStyle w:val="12"/>
              <w:widowControl/>
              <w:spacing w:beforeAutospacing="0" w:afterAutospacing="0" w:line="300" w:lineRule="atLeast"/>
              <w:jc w:val="center"/>
            </w:pPr>
            <w:r>
              <w:rPr>
                <w:rStyle w:val="17"/>
                <w:rFonts w:hint="eastAsia" w:ascii="宋体" w:hAnsi="宋体" w:eastAsia="宋体" w:cs="宋体"/>
                <w:color w:val="000000"/>
                <w:sz w:val="18"/>
                <w:szCs w:val="18"/>
                <w:shd w:val="clear" w:color="auto" w:fill="FFFFFF"/>
              </w:rPr>
              <w:t>主要环境影响及预防或减轻不良环境影响的对策和措施</w:t>
            </w:r>
          </w:p>
        </w:tc>
      </w:tr>
      <w:tr w14:paraId="5F3322A4">
        <w:tblPrEx>
          <w:tblCellMar>
            <w:top w:w="15" w:type="dxa"/>
            <w:left w:w="15" w:type="dxa"/>
            <w:bottom w:w="15" w:type="dxa"/>
            <w:right w:w="15" w:type="dxa"/>
          </w:tblCellMar>
        </w:tblPrEx>
        <w:trPr>
          <w:trHeight w:val="90" w:hRule="atLeast"/>
        </w:trPr>
        <w:tc>
          <w:tcPr>
            <w:tcW w:w="399" w:type="dxa"/>
            <w:tcBorders>
              <w:top w:val="single" w:color="auto" w:sz="4" w:space="0"/>
              <w:left w:val="single" w:color="auto" w:sz="4" w:space="0"/>
              <w:bottom w:val="single" w:color="auto" w:sz="4" w:space="0"/>
              <w:right w:val="single" w:color="auto" w:sz="6" w:space="0"/>
            </w:tcBorders>
            <w:shd w:val="clear" w:color="auto" w:fill="auto"/>
            <w:tcMar>
              <w:top w:w="0" w:type="dxa"/>
              <w:left w:w="0" w:type="dxa"/>
              <w:bottom w:w="0" w:type="dxa"/>
              <w:right w:w="0" w:type="dxa"/>
            </w:tcMar>
            <w:vAlign w:val="center"/>
          </w:tcPr>
          <w:p w14:paraId="3A898CFE">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1.</w:t>
            </w:r>
          </w:p>
        </w:tc>
        <w:tc>
          <w:tcPr>
            <w:tcW w:w="389"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1DED7FA">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lang w:val="en-US" w:eastAsia="zh-CN"/>
              </w:rPr>
              <w:t>滑县锐锋智能科技有限公司</w:t>
            </w:r>
          </w:p>
          <w:p w14:paraId="4A69E7BE">
            <w:pPr>
              <w:pStyle w:val="12"/>
              <w:widowControl/>
              <w:spacing w:beforeAutospacing="0" w:afterAutospacing="0" w:line="300" w:lineRule="atLeast"/>
              <w:jc w:val="center"/>
              <w:rPr>
                <w:rFonts w:ascii="Times New Roman" w:hAnsi="Times New Roman"/>
                <w:color w:val="000000"/>
                <w:sz w:val="18"/>
                <w:szCs w:val="18"/>
              </w:rPr>
            </w:pPr>
          </w:p>
        </w:tc>
        <w:tc>
          <w:tcPr>
            <w:tcW w:w="997"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178E882">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lang w:val="en-US" w:eastAsia="zh-CN"/>
              </w:rPr>
              <w:t>年加工3万吨复合材料建设项目</w:t>
            </w:r>
          </w:p>
        </w:tc>
        <w:tc>
          <w:tcPr>
            <w:tcW w:w="1103"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3A0EC25">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lang w:eastAsia="zh-CN"/>
              </w:rPr>
              <w:t>滑县老店乡(镇）泥马庙牧原消毒厂北邻01号</w:t>
            </w:r>
          </w:p>
        </w:tc>
        <w:tc>
          <w:tcPr>
            <w:tcW w:w="714"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03EB121">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河南青盟环保科技有限公司</w:t>
            </w:r>
          </w:p>
        </w:tc>
        <w:tc>
          <w:tcPr>
            <w:tcW w:w="860"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28A543A">
            <w:pPr>
              <w:pStyle w:val="12"/>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占地面积为</w:t>
            </w:r>
            <w:r>
              <w:rPr>
                <w:rFonts w:hint="eastAsia" w:ascii="Times New Roman" w:hAnsi="Times New Roman"/>
                <w:color w:val="000000"/>
                <w:sz w:val="18"/>
                <w:szCs w:val="18"/>
                <w:lang w:val="en-US" w:eastAsia="zh-CN"/>
              </w:rPr>
              <w:t>12000</w:t>
            </w:r>
            <w:r>
              <w:rPr>
                <w:rFonts w:hint="eastAsia" w:ascii="Times New Roman" w:hAnsi="Times New Roman"/>
                <w:color w:val="000000"/>
                <w:sz w:val="18"/>
                <w:szCs w:val="18"/>
              </w:rPr>
              <w:t>m</w:t>
            </w:r>
            <w:r>
              <w:rPr>
                <w:rFonts w:hint="eastAsia" w:ascii="Times New Roman" w:hAnsi="Times New Roman"/>
                <w:color w:val="000000"/>
                <w:sz w:val="18"/>
                <w:szCs w:val="18"/>
                <w:vertAlign w:val="superscript"/>
              </w:rPr>
              <w:t>2</w:t>
            </w:r>
            <w:r>
              <w:rPr>
                <w:rFonts w:hint="eastAsia" w:ascii="Times New Roman" w:hAnsi="Times New Roman"/>
                <w:color w:val="000000"/>
                <w:sz w:val="18"/>
                <w:szCs w:val="18"/>
              </w:rPr>
              <w:t>，总投资</w:t>
            </w:r>
            <w:r>
              <w:rPr>
                <w:rFonts w:hint="eastAsia" w:ascii="Times New Roman" w:hAnsi="Times New Roman"/>
                <w:color w:val="000000"/>
                <w:sz w:val="18"/>
                <w:szCs w:val="18"/>
                <w:lang w:val="en-US" w:eastAsia="zh-CN"/>
              </w:rPr>
              <w:t>500</w:t>
            </w:r>
            <w:r>
              <w:rPr>
                <w:rFonts w:hint="eastAsia" w:ascii="Times New Roman" w:hAnsi="Times New Roman"/>
                <w:color w:val="000000"/>
                <w:sz w:val="18"/>
                <w:szCs w:val="18"/>
              </w:rPr>
              <w:t>万元，环保投资</w:t>
            </w:r>
            <w:r>
              <w:rPr>
                <w:rFonts w:hint="eastAsia" w:ascii="Times New Roman" w:hAnsi="Times New Roman"/>
                <w:color w:val="000000"/>
                <w:sz w:val="18"/>
                <w:szCs w:val="18"/>
                <w:lang w:val="en-US" w:eastAsia="zh-CN"/>
              </w:rPr>
              <w:t>50</w:t>
            </w:r>
            <w:r>
              <w:rPr>
                <w:rFonts w:hint="eastAsia" w:ascii="Times New Roman" w:hAnsi="Times New Roman"/>
                <w:color w:val="000000"/>
                <w:sz w:val="18"/>
                <w:szCs w:val="18"/>
              </w:rPr>
              <w:t>万元。</w:t>
            </w:r>
          </w:p>
        </w:tc>
        <w:tc>
          <w:tcPr>
            <w:tcW w:w="3653"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5B58866E">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lang w:val="en-US" w:eastAsia="zh-CN"/>
              </w:rPr>
            </w:pPr>
            <w:r>
              <w:rPr>
                <w:rFonts w:ascii="Times New Roman" w:hAnsi="Times New Roman"/>
                <w:color w:val="000000"/>
                <w:sz w:val="18"/>
                <w:szCs w:val="18"/>
              </w:rPr>
              <w:t>1. 废气：</w:t>
            </w:r>
            <w:r>
              <w:rPr>
                <w:rFonts w:hint="eastAsia" w:ascii="Times New Roman" w:hAnsi="Times New Roman"/>
                <w:color w:val="000000"/>
                <w:sz w:val="18"/>
                <w:szCs w:val="18"/>
                <w:lang w:val="en-US" w:eastAsia="zh-CN"/>
              </w:rPr>
              <w:t>碳化废气经密闭管道输送至旋风除尘+电捕焦油+布袋除尘+低氮燃烧器燃烧+余热回收+布袋除尘+活性炭吸附处理后通过15m高排气筒排放；撕碎、筛分粉尘经密闭抽风收集，碳化炉出口及炭渣装袋粉尘经集气罩收集，一并进入布袋除尘器处理后通过15m高的排气筒排放。废气排放满足《工业炉窑大气污染物排放标准》（DB41/1066-2020）表1其他炉窑限值要求、《大气污染物综合排放标准》（GB16297-1996）表2标准限值、《全省开展工业企业挥发性有机物专项治理工作中排放建议值》（豫环攻坚办〔2017〕162号）其他行业限值要求、《挥发性有机物无组织排放控制标准》（GB37822-2019）表A.1厂区内VOCs无组织特别排放限值，及《河南省重污染天气通用行业应急减排措施制定技术指南（2024年修订版）》中涉PM、涉VOCs企业绩效引领性指标及炉窑A级企业绩效限值要求。</w:t>
            </w:r>
          </w:p>
          <w:p w14:paraId="453A0B8C">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lang w:val="en-US" w:eastAsia="zh-CN"/>
              </w:rPr>
            </w:pPr>
            <w:r>
              <w:rPr>
                <w:rFonts w:ascii="Times New Roman" w:hAnsi="Times New Roman"/>
                <w:color w:val="000000"/>
                <w:sz w:val="18"/>
                <w:szCs w:val="18"/>
              </w:rPr>
              <w:t>2. 废水：</w:t>
            </w:r>
            <w:r>
              <w:rPr>
                <w:rFonts w:hint="eastAsia" w:ascii="Times New Roman" w:hAnsi="Times New Roman"/>
                <w:color w:val="000000"/>
                <w:sz w:val="18"/>
                <w:szCs w:val="18"/>
                <w:lang w:val="en-US" w:eastAsia="zh-CN"/>
              </w:rPr>
              <w:t>生活污水经化粪池（5m3）处理后定期清掏用于肥田。</w:t>
            </w:r>
          </w:p>
          <w:p w14:paraId="69CF2260">
            <w:pPr>
              <w:keepNext w:val="0"/>
              <w:keepLines w:val="0"/>
              <w:widowControl/>
              <w:numPr>
                <w:ilvl w:val="0"/>
                <w:numId w:val="0"/>
              </w:numPr>
              <w:suppressLineNumbers w:val="0"/>
              <w:ind w:leftChars="0" w:firstLine="360" w:firstLineChars="200"/>
              <w:jc w:val="left"/>
              <w:rPr>
                <w:rFonts w:hint="eastAsia" w:ascii="Times New Roman" w:hAnsi="Times New Roman"/>
                <w:color w:val="000000"/>
                <w:sz w:val="18"/>
                <w:szCs w:val="18"/>
                <w:lang w:val="en-US" w:eastAsia="zh-CN"/>
              </w:rPr>
            </w:pPr>
            <w:r>
              <w:rPr>
                <w:rFonts w:ascii="Times New Roman" w:hAnsi="Times New Roman"/>
                <w:color w:val="000000"/>
                <w:sz w:val="18"/>
                <w:szCs w:val="18"/>
              </w:rPr>
              <w:t>3. 噪声：</w:t>
            </w:r>
            <w:r>
              <w:rPr>
                <w:rFonts w:hint="eastAsia" w:ascii="Times New Roman" w:hAnsi="Times New Roman"/>
                <w:color w:val="000000"/>
                <w:sz w:val="18"/>
                <w:szCs w:val="18"/>
                <w:lang w:val="en-US" w:eastAsia="zh-CN"/>
              </w:rPr>
              <w:t>经采取选用低噪声设备、基座减震、 车间隔声、距离衰减等措施后，厂界噪声须满足《工业企业厂界环境噪声排放标准》（GB12348-2008）2类标准。</w:t>
            </w:r>
          </w:p>
          <w:p w14:paraId="762E2F41">
            <w:pPr>
              <w:keepNext w:val="0"/>
              <w:keepLines w:val="0"/>
              <w:widowControl/>
              <w:numPr>
                <w:ilvl w:val="0"/>
                <w:numId w:val="0"/>
              </w:numPr>
              <w:suppressLineNumbers w:val="0"/>
              <w:ind w:leftChars="0" w:firstLine="360" w:firstLineChars="200"/>
              <w:jc w:val="left"/>
              <w:rPr>
                <w:rFonts w:ascii="Times New Roman" w:hAnsi="Times New Roman"/>
                <w:color w:val="000000"/>
                <w:sz w:val="18"/>
                <w:szCs w:val="18"/>
              </w:rPr>
            </w:pPr>
            <w:r>
              <w:rPr>
                <w:rFonts w:hint="eastAsia" w:ascii="Times New Roman" w:hAnsi="Times New Roman"/>
                <w:color w:val="000000"/>
                <w:sz w:val="18"/>
                <w:szCs w:val="18"/>
                <w:lang w:val="en-US" w:eastAsia="zh-CN"/>
              </w:rPr>
              <w:t>4. 固体废物：生活垃圾经垃圾桶收集后交由市政环卫部门统一处理；除尘器收尘灰、废滤袋、废包装材料在一般固废暂存间暂存后定期外售当地废物回收单位；废活性炭、电捕焦油、废矿物油、废润滑油桶、含油抹布手套在危废暂存间分类暂存后，定期交由就近有资质单位处置。一般固体废物暂存应满足《一般工业固体废物贮存和填埋污染控制标准》（GB18599 -2020）要求，危险废物暂存应满足《危险废物贮存污染控制标准》（GB18597-2023）要求。</w:t>
            </w:r>
          </w:p>
        </w:tc>
      </w:tr>
    </w:tbl>
    <w:p w14:paraId="4C4935B6">
      <w:pPr>
        <w:pStyle w:val="12"/>
        <w:widowControl/>
        <w:spacing w:beforeAutospacing="0" w:afterAutospacing="0" w:line="300" w:lineRule="atLeast"/>
        <w:jc w:val="center"/>
        <w:rPr>
          <w:rFonts w:ascii="Times New Roman" w:hAnsi="Times New Roman"/>
          <w:color w:val="000000"/>
          <w:sz w:val="18"/>
          <w:szCs w:val="1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7"/>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BjYTBhZThlNzU1YzE4MTAxZTVkY2IyYzEzZGQxMDYifQ=="/>
  </w:docVars>
  <w:rsids>
    <w:rsidRoot w:val="00D553BD"/>
    <w:rsid w:val="00021B7D"/>
    <w:rsid w:val="00051C04"/>
    <w:rsid w:val="000934E9"/>
    <w:rsid w:val="000C13E5"/>
    <w:rsid w:val="00191A76"/>
    <w:rsid w:val="00272D6F"/>
    <w:rsid w:val="002932FD"/>
    <w:rsid w:val="002D40B0"/>
    <w:rsid w:val="002F348A"/>
    <w:rsid w:val="00346272"/>
    <w:rsid w:val="0034687D"/>
    <w:rsid w:val="00351DEE"/>
    <w:rsid w:val="00424CC3"/>
    <w:rsid w:val="005227EA"/>
    <w:rsid w:val="00524ECE"/>
    <w:rsid w:val="0052598B"/>
    <w:rsid w:val="005901A6"/>
    <w:rsid w:val="005C56DB"/>
    <w:rsid w:val="00612AF7"/>
    <w:rsid w:val="00613302"/>
    <w:rsid w:val="0071483A"/>
    <w:rsid w:val="007F6C56"/>
    <w:rsid w:val="00836AE6"/>
    <w:rsid w:val="00854859"/>
    <w:rsid w:val="00896DDB"/>
    <w:rsid w:val="008F6A17"/>
    <w:rsid w:val="00B101CB"/>
    <w:rsid w:val="00B21E60"/>
    <w:rsid w:val="00B72CC9"/>
    <w:rsid w:val="00B72D3B"/>
    <w:rsid w:val="00C53645"/>
    <w:rsid w:val="00CE0507"/>
    <w:rsid w:val="00CE3621"/>
    <w:rsid w:val="00D553BD"/>
    <w:rsid w:val="00D93271"/>
    <w:rsid w:val="00DB2F10"/>
    <w:rsid w:val="00E12EFF"/>
    <w:rsid w:val="00EB48B5"/>
    <w:rsid w:val="00FA45AC"/>
    <w:rsid w:val="00FB5EA4"/>
    <w:rsid w:val="00FD244D"/>
    <w:rsid w:val="09A15DC1"/>
    <w:rsid w:val="09E6605D"/>
    <w:rsid w:val="0B652750"/>
    <w:rsid w:val="120B589A"/>
    <w:rsid w:val="126D0F3F"/>
    <w:rsid w:val="14A55308"/>
    <w:rsid w:val="159D7523"/>
    <w:rsid w:val="18AB01A9"/>
    <w:rsid w:val="23BC64AB"/>
    <w:rsid w:val="28B71175"/>
    <w:rsid w:val="29F8185A"/>
    <w:rsid w:val="2ADD44ED"/>
    <w:rsid w:val="2C0676F0"/>
    <w:rsid w:val="2DC302F1"/>
    <w:rsid w:val="2DC86D5C"/>
    <w:rsid w:val="31811015"/>
    <w:rsid w:val="323D7466"/>
    <w:rsid w:val="383B30F1"/>
    <w:rsid w:val="3A25474B"/>
    <w:rsid w:val="3A555B39"/>
    <w:rsid w:val="3B0E64B4"/>
    <w:rsid w:val="3BCC5E8A"/>
    <w:rsid w:val="3E6B2E9F"/>
    <w:rsid w:val="3FAE1904"/>
    <w:rsid w:val="44D13161"/>
    <w:rsid w:val="46CD11F9"/>
    <w:rsid w:val="47A4392B"/>
    <w:rsid w:val="4AA43B88"/>
    <w:rsid w:val="4DB91C07"/>
    <w:rsid w:val="4E4D6E3D"/>
    <w:rsid w:val="4F2D1826"/>
    <w:rsid w:val="506B2B73"/>
    <w:rsid w:val="51167BAE"/>
    <w:rsid w:val="51C957E0"/>
    <w:rsid w:val="52376698"/>
    <w:rsid w:val="56C81A1D"/>
    <w:rsid w:val="56E408B3"/>
    <w:rsid w:val="591254C2"/>
    <w:rsid w:val="5AC029C4"/>
    <w:rsid w:val="5F050D4A"/>
    <w:rsid w:val="62712768"/>
    <w:rsid w:val="664F2219"/>
    <w:rsid w:val="6A074AD5"/>
    <w:rsid w:val="6CD213AC"/>
    <w:rsid w:val="6FE633A9"/>
    <w:rsid w:val="73257025"/>
    <w:rsid w:val="759012A6"/>
    <w:rsid w:val="75B96372"/>
    <w:rsid w:val="78E76149"/>
    <w:rsid w:val="79F92000"/>
    <w:rsid w:val="7A76041E"/>
    <w:rsid w:val="7DD32B3D"/>
    <w:rsid w:val="7E551467"/>
    <w:rsid w:val="7FCE3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Autospacing="1" w:afterAutospacing="1"/>
      <w:jc w:val="center"/>
      <w:outlineLvl w:val="0"/>
    </w:pPr>
    <w:rPr>
      <w:b/>
      <w:kern w:val="44"/>
      <w:sz w:val="44"/>
    </w:rPr>
  </w:style>
  <w:style w:type="paragraph" w:styleId="3">
    <w:name w:val="heading 4"/>
    <w:basedOn w:val="1"/>
    <w:next w:val="1"/>
    <w:unhideWhenUsed/>
    <w:qFormat/>
    <w:uiPriority w:val="0"/>
    <w:pPr>
      <w:spacing w:before="100" w:beforeAutospacing="1" w:after="100" w:afterAutospacing="1"/>
      <w:jc w:val="left"/>
      <w:outlineLvl w:val="3"/>
    </w:pPr>
    <w:rPr>
      <w:rFonts w:hint="eastAsia" w:ascii="宋体" w:hAnsi="宋体" w:eastAsia="宋体" w:cs="Times New Roman"/>
      <w:b/>
      <w:kern w:val="0"/>
      <w:sz w:val="24"/>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index 5"/>
    <w:basedOn w:val="1"/>
    <w:next w:val="1"/>
    <w:semiHidden/>
    <w:qFormat/>
    <w:uiPriority w:val="0"/>
    <w:pPr>
      <w:ind w:left="1680"/>
    </w:pPr>
    <w:rPr>
      <w:rFonts w:eastAsia="Times New Roman"/>
      <w:sz w:val="32"/>
    </w:rPr>
  </w:style>
  <w:style w:type="paragraph" w:styleId="5">
    <w:name w:val="annotation text"/>
    <w:basedOn w:val="1"/>
    <w:qFormat/>
    <w:uiPriority w:val="0"/>
    <w:pPr>
      <w:jc w:val="left"/>
    </w:pPr>
    <w:rPr>
      <w:kern w:val="0"/>
      <w:sz w:val="24"/>
      <w:szCs w:val="20"/>
    </w:rPr>
  </w:style>
  <w:style w:type="paragraph" w:styleId="6">
    <w:name w:val="Body Text"/>
    <w:basedOn w:val="1"/>
    <w:next w:val="7"/>
    <w:qFormat/>
    <w:uiPriority w:val="0"/>
    <w:rPr>
      <w:b/>
      <w:bCs/>
      <w:sz w:val="24"/>
    </w:rPr>
  </w:style>
  <w:style w:type="paragraph" w:styleId="7">
    <w:name w:val="Body Text 2"/>
    <w:basedOn w:val="1"/>
    <w:qFormat/>
    <w:uiPriority w:val="99"/>
    <w:pPr>
      <w:numPr>
        <w:ilvl w:val="0"/>
        <w:numId w:val="1"/>
      </w:numPr>
      <w:spacing w:beforeLines="50" w:line="336" w:lineRule="auto"/>
      <w:ind w:left="0" w:firstLine="0"/>
    </w:pPr>
    <w:rPr>
      <w:rFonts w:ascii="Times New Roman" w:hAnsi="Times New Roman" w:eastAsia="仿宋_GB2312" w:cs="Times New Roman"/>
      <w:kern w:val="0"/>
      <w:lang w:val="en-GB" w:eastAsia="en-US"/>
    </w:rPr>
  </w:style>
  <w:style w:type="paragraph" w:styleId="8">
    <w:name w:val="Body Text Indent"/>
    <w:basedOn w:val="1"/>
    <w:qFormat/>
    <w:uiPriority w:val="0"/>
    <w:pPr>
      <w:ind w:left="420" w:leftChars="200"/>
    </w:pPr>
  </w:style>
  <w:style w:type="paragraph" w:styleId="9">
    <w:name w:val="Block Text"/>
    <w:basedOn w:val="1"/>
    <w:next w:val="1"/>
    <w:qFormat/>
    <w:uiPriority w:val="0"/>
    <w:pPr>
      <w:spacing w:line="320" w:lineRule="exact"/>
      <w:ind w:left="113" w:right="113"/>
      <w:jc w:val="center"/>
    </w:pPr>
    <w:rPr>
      <w:b/>
      <w:sz w:val="13"/>
      <w:szCs w:val="15"/>
    </w:rPr>
  </w:style>
  <w:style w:type="paragraph" w:styleId="10">
    <w:name w:val="footer"/>
    <w:basedOn w:val="1"/>
    <w:link w:val="22"/>
    <w:qFormat/>
    <w:uiPriority w:val="0"/>
    <w:pPr>
      <w:tabs>
        <w:tab w:val="center" w:pos="4153"/>
        <w:tab w:val="right" w:pos="8306"/>
      </w:tabs>
      <w:snapToGrid w:val="0"/>
      <w:jc w:val="left"/>
    </w:pPr>
    <w:rPr>
      <w:sz w:val="18"/>
      <w:szCs w:val="18"/>
    </w:rPr>
  </w:style>
  <w:style w:type="paragraph" w:styleId="11">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6"/>
    <w:next w:val="14"/>
    <w:qFormat/>
    <w:uiPriority w:val="0"/>
    <w:pPr>
      <w:spacing w:after="120"/>
      <w:ind w:firstLine="420" w:firstLineChars="100"/>
    </w:pPr>
    <w:rPr>
      <w:sz w:val="21"/>
    </w:rPr>
  </w:style>
  <w:style w:type="paragraph" w:styleId="14">
    <w:name w:val="Body Text First Indent 2"/>
    <w:basedOn w:val="8"/>
    <w:qFormat/>
    <w:uiPriority w:val="0"/>
    <w:pPr>
      <w:ind w:firstLine="200" w:firstLineChars="200"/>
    </w:pPr>
    <w:rPr>
      <w:szCs w:val="21"/>
    </w:rPr>
  </w:style>
  <w:style w:type="character" w:styleId="17">
    <w:name w:val="Strong"/>
    <w:basedOn w:val="16"/>
    <w:qFormat/>
    <w:uiPriority w:val="0"/>
    <w:rPr>
      <w:b/>
    </w:rPr>
  </w:style>
  <w:style w:type="character" w:styleId="18">
    <w:name w:val="annotation reference"/>
    <w:basedOn w:val="16"/>
    <w:qFormat/>
    <w:uiPriority w:val="0"/>
    <w:rPr>
      <w:sz w:val="21"/>
      <w:szCs w:val="21"/>
    </w:rPr>
  </w:style>
  <w:style w:type="paragraph" w:customStyle="1" w:styleId="19">
    <w:name w:val="Default"/>
    <w:basedOn w:val="20"/>
    <w:unhideWhenUsed/>
    <w:qFormat/>
    <w:uiPriority w:val="99"/>
    <w:pPr>
      <w:autoSpaceDE w:val="0"/>
      <w:autoSpaceDN w:val="0"/>
    </w:pPr>
    <w:rPr>
      <w:rFonts w:hint="eastAsia" w:ascii="仿宋_GB2312" w:hAnsi="仿宋_GB2312" w:eastAsia="仿宋_GB2312" w:cs="Times New Roman"/>
      <w:color w:val="000000"/>
      <w:sz w:val="24"/>
    </w:rPr>
  </w:style>
  <w:style w:type="paragraph" w:customStyle="1" w:styleId="20">
    <w:name w:val="纯文本1"/>
    <w:basedOn w:val="1"/>
    <w:qFormat/>
    <w:uiPriority w:val="0"/>
    <w:pPr>
      <w:adjustRightInd w:val="0"/>
    </w:pPr>
    <w:rPr>
      <w:rFonts w:ascii="宋体" w:hAnsi="Courier New"/>
    </w:rPr>
  </w:style>
  <w:style w:type="character" w:customStyle="1" w:styleId="21">
    <w:name w:val="页眉 Char"/>
    <w:basedOn w:val="16"/>
    <w:link w:val="11"/>
    <w:qFormat/>
    <w:uiPriority w:val="0"/>
    <w:rPr>
      <w:rFonts w:asciiTheme="minorHAnsi" w:hAnsiTheme="minorHAnsi" w:eastAsiaTheme="minorEastAsia" w:cstheme="minorBidi"/>
      <w:kern w:val="2"/>
      <w:sz w:val="18"/>
      <w:szCs w:val="18"/>
    </w:rPr>
  </w:style>
  <w:style w:type="character" w:customStyle="1" w:styleId="22">
    <w:name w:val="页脚 Char"/>
    <w:basedOn w:val="16"/>
    <w:link w:val="10"/>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1038</Words>
  <Characters>1176</Characters>
  <Lines>1</Lines>
  <Paragraphs>2</Paragraphs>
  <TotalTime>0</TotalTime>
  <ScaleCrop>false</ScaleCrop>
  <LinksUpToDate>false</LinksUpToDate>
  <CharactersWithSpaces>1199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墨染秋凉</cp:lastModifiedBy>
  <dcterms:modified xsi:type="dcterms:W3CDTF">2026-04-17T08:36:48Z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8BE8F78994014D048921BA9B8DEF1A8D</vt:lpwstr>
  </property>
  <property fmtid="{D5CDD505-2E9C-101B-9397-08002B2CF9AE}" pid="4" name="KSOTemplateDocerSaveRecord">
    <vt:lpwstr>eyJoZGlkIjoiMmQxN2E3NzBjNWUyMGQyNjllMzdmZDlhNTNkMGIyNzMiLCJ1c2VySWQiOiI0MzY3NTg1OTAifQ==</vt:lpwstr>
  </property>
</Properties>
</file>