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55836">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不予行政处罚决定书</w:t>
      </w:r>
    </w:p>
    <w:p w14:paraId="7834BBC7">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环不罚决字〔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1AD3E90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河南省开仑化工有限责任公司： </w:t>
      </w:r>
    </w:p>
    <w:p w14:paraId="37A11879">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914105261725518454 </w:t>
      </w:r>
    </w:p>
    <w:p w14:paraId="5328439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地址：安阳市滑县产业集聚区漓江路东段 </w:t>
      </w:r>
    </w:p>
    <w:p w14:paraId="7A95F56E">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法定代表人：苗进之</w:t>
      </w:r>
      <w:r>
        <w:rPr>
          <w:rFonts w:hint="default" w:ascii="Times New Roman" w:hAnsi="Times New Roman" w:eastAsia="宋体" w:cs="Times New Roman"/>
          <w:color w:val="000000"/>
          <w:kern w:val="0"/>
          <w:sz w:val="32"/>
          <w:szCs w:val="32"/>
          <w:lang w:val="en-US" w:eastAsia="zh-CN" w:bidi="ar"/>
        </w:rPr>
        <w:t xml:space="preserve"> </w:t>
      </w:r>
    </w:p>
    <w:p w14:paraId="780BB19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日对你单位进行了调查，发现你单位实施了以下生态环境违法行为： </w:t>
      </w:r>
    </w:p>
    <w:p w14:paraId="37310D5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日促进剂项目开始复工复产，</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40</w:t>
      </w:r>
      <w:r>
        <w:rPr>
          <w:rFonts w:hint="eastAsia" w:ascii="仿宋" w:hAnsi="仿宋" w:eastAsia="仿宋" w:cs="仿宋"/>
          <w:color w:val="000000"/>
          <w:kern w:val="0"/>
          <w:sz w:val="32"/>
          <w:szCs w:val="32"/>
          <w:lang w:val="en-US" w:eastAsia="zh-CN" w:bidi="ar"/>
        </w:rPr>
        <w:t>高压釜开始投料，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9:00 </w:t>
      </w:r>
    </w:p>
    <w:p w14:paraId="4C295B4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在线设施开始正常上传在线数据。你单位未按照规定使用自动监测设备。 </w:t>
      </w:r>
    </w:p>
    <w:p w14:paraId="77DE2BA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有以下主要证据证明： </w:t>
      </w:r>
    </w:p>
    <w:p w14:paraId="4D2477A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0805F0E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、烟气排放连续监测小时平均值日报表复印件、废气排放口在线</w:t>
      </w:r>
      <w:r>
        <w:rPr>
          <w:rFonts w:hint="default" w:ascii="Times New Roman" w:hAnsi="Times New Roman" w:eastAsia="宋体" w:cs="Times New Roman"/>
          <w:color w:val="000000"/>
          <w:kern w:val="0"/>
          <w:sz w:val="32"/>
          <w:szCs w:val="32"/>
          <w:lang w:val="en-US" w:eastAsia="zh-CN" w:bidi="ar"/>
        </w:rPr>
        <w:t>CEMS</w:t>
      </w:r>
      <w:r>
        <w:rPr>
          <w:rFonts w:hint="eastAsia" w:ascii="仿宋" w:hAnsi="仿宋" w:eastAsia="仿宋" w:cs="仿宋"/>
          <w:color w:val="000000"/>
          <w:kern w:val="0"/>
          <w:sz w:val="32"/>
          <w:szCs w:val="32"/>
          <w:lang w:val="en-US" w:eastAsia="zh-CN" w:bidi="ar"/>
        </w:rPr>
        <w:t>系统验收材料复印件，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-7 </w:t>
      </w:r>
      <w:r>
        <w:rPr>
          <w:rFonts w:hint="eastAsia" w:ascii="仿宋" w:hAnsi="仿宋" w:eastAsia="仿宋" w:cs="仿宋"/>
          <w:color w:val="000000"/>
          <w:kern w:val="0"/>
          <w:sz w:val="32"/>
          <w:szCs w:val="32"/>
          <w:lang w:val="en-US" w:eastAsia="zh-CN" w:bidi="ar"/>
        </w:rPr>
        <w:t xml:space="preserve">日由河南省开仑化工有限责任公司提供，证明相对人超标排放情况； </w:t>
      </w:r>
    </w:p>
    <w:p w14:paraId="5B04E62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日由河南省开仑化工有限责任公司提供，证明相对人身份；</w:t>
      </w:r>
    </w:p>
    <w:p w14:paraId="09004A9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、环境影响报告书复印件、关于河南省开仑化工有限责任公司年产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万吨子午线轮胎专用硫化促进剂项目环境影响报告书的批复复印件、竣工环境保护验收报告复印件、排污许可证复印件，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日由河南省开仑化工有限责任公司提供，证明相对人管理类别、违法行为发生地点； </w:t>
      </w:r>
    </w:p>
    <w:p w14:paraId="4076E87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6388864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0E69322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日由安阳市生态环境局滑县综合行政执法大队提供，证明限期改正时间； </w:t>
      </w:r>
    </w:p>
    <w:p w14:paraId="2DB5F65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日由安阳市生态环境局滑县综合行政执法大队提供，证明执法人员身份。 </w:t>
      </w:r>
    </w:p>
    <w:p w14:paraId="603D305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上述行为违反了《中华人民共和国大气污染防治法》第二十四条第一款：“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的规定。 </w:t>
      </w:r>
    </w:p>
    <w:p w14:paraId="349BAA5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条第三项：“违反本法规定，有下列行为之一的，由县级以上人民政府生态环境主管部门责令改正，处二万元以上二十万元以下的罚款；拒不改正的，责令停产整治：（三）未按照规定安装、使用大气污染物排放自动监测设备或者未按照规定与生态环境主管部门的监控设备联网，并保证监测设备正常运行的；”的规定，参照《河南省生态环境行政处罚裁量基准》，裁量因素：★违法事实，内容：自动监测设备已安装，未按照规定与生态环境主管部门监控设备联网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；裁量因素：自动监测数据有效传输率，内容：自动监测季度数据有效传输率</w:t>
      </w:r>
      <w:r>
        <w:rPr>
          <w:rFonts w:hint="default" w:ascii="Times New Roman" w:hAnsi="Times New Roman" w:eastAsia="宋体" w:cs="Times New Roman"/>
          <w:color w:val="000000"/>
          <w:kern w:val="0"/>
          <w:sz w:val="32"/>
          <w:szCs w:val="32"/>
          <w:lang w:val="en-US" w:eastAsia="zh-CN" w:bidi="ar"/>
        </w:rPr>
        <w:t>95%</w:t>
      </w:r>
      <w:r>
        <w:rPr>
          <w:rFonts w:hint="eastAsia" w:ascii="仿宋" w:hAnsi="仿宋" w:eastAsia="仿宋" w:cs="仿宋"/>
          <w:color w:val="000000"/>
          <w:kern w:val="0"/>
          <w:sz w:val="32"/>
          <w:szCs w:val="32"/>
          <w:lang w:val="en-US" w:eastAsia="zh-CN" w:bidi="ar"/>
        </w:rPr>
        <w:t>以上</w:t>
      </w:r>
      <w:r>
        <w:rPr>
          <w:rFonts w:hint="default" w:ascii="Times New Roman" w:hAnsi="Times New Roman" w:eastAsia="宋体" w:cs="Times New Roman"/>
          <w:color w:val="000000"/>
          <w:kern w:val="0"/>
          <w:sz w:val="32"/>
          <w:szCs w:val="32"/>
          <w:lang w:val="en-US" w:eastAsia="zh-CN" w:bidi="ar"/>
        </w:rPr>
        <w:t>99%</w:t>
      </w:r>
      <w:r>
        <w:rPr>
          <w:rFonts w:hint="eastAsia" w:ascii="仿宋" w:hAnsi="仿宋" w:eastAsia="仿宋" w:cs="仿宋"/>
          <w:color w:val="000000"/>
          <w:kern w:val="0"/>
          <w:sz w:val="32"/>
          <w:szCs w:val="32"/>
          <w:lang w:val="en-US" w:eastAsia="zh-CN" w:bidi="ar"/>
        </w:rPr>
        <w:t>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；裁量因素：废气类别，内容：火电、钢铁、石化、水泥、炼焦、有色、化工废气、烟尘</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燃煤锅炉废气（</w:t>
      </w:r>
      <w:r>
        <w:rPr>
          <w:rFonts w:hint="default" w:ascii="Times New Roman" w:hAnsi="Times New Roman" w:eastAsia="宋体" w:cs="Times New Roman"/>
          <w:color w:val="000000"/>
          <w:kern w:val="0"/>
          <w:sz w:val="32"/>
          <w:szCs w:val="32"/>
          <w:lang w:val="en-US" w:eastAsia="zh-CN" w:bidi="ar"/>
        </w:rPr>
        <w:t xml:space="preserve">30 </w:t>
      </w:r>
      <w:r>
        <w:rPr>
          <w:rFonts w:hint="eastAsia" w:ascii="仿宋" w:hAnsi="仿宋" w:eastAsia="仿宋" w:cs="仿宋"/>
          <w:color w:val="000000"/>
          <w:kern w:val="0"/>
          <w:sz w:val="32"/>
          <w:szCs w:val="32"/>
          <w:lang w:val="en-US" w:eastAsia="zh-CN" w:bidi="ar"/>
        </w:rPr>
        <w:t>蒸吨以上），裁量等级：</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；裁量因素：企业规模，内容：小型企业，裁量等级：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；裁量因素：管理类别，判定标准：重点管理，裁量等级：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 xml:space="preserve">， </w:t>
      </w:r>
    </w:p>
    <w:p w14:paraId="5ACFF118">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 xml:space="preserve">： </w:t>
      </w:r>
    </w:p>
    <w:p w14:paraId="55174FB3">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 xml:space="preserve">[1,4,2,3,1,1]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42800 </w:t>
      </w:r>
      <w:r>
        <w:rPr>
          <w:rFonts w:hint="eastAsia" w:ascii="仿宋" w:hAnsi="仿宋" w:eastAsia="仿宋" w:cs="仿宋"/>
          <w:color w:val="000000"/>
          <w:kern w:val="0"/>
          <w:sz w:val="32"/>
          <w:szCs w:val="32"/>
          <w:lang w:val="en-US" w:eastAsia="zh-CN" w:bidi="ar"/>
        </w:rPr>
        <w:t xml:space="preserve">， 代 入 公 式 </w:t>
      </w:r>
    </w:p>
    <w:p w14:paraId="3F6371C1">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42800=20000+(200000-20000)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1)/25+(1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，自定义裁量计算值：</w:t>
      </w:r>
      <w:r>
        <w:rPr>
          <w:rFonts w:hint="default" w:ascii="Times New Roman" w:hAnsi="Times New Roman" w:eastAsia="宋体" w:cs="Times New Roman"/>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42800</w:t>
      </w:r>
      <w:r>
        <w:rPr>
          <w:rFonts w:hint="eastAsia" w:ascii="仿宋" w:hAnsi="仿宋" w:eastAsia="仿宋" w:cs="仿宋"/>
          <w:color w:val="000000"/>
          <w:kern w:val="0"/>
          <w:sz w:val="32"/>
          <w:szCs w:val="32"/>
          <w:lang w:val="en-US" w:eastAsia="zh-CN" w:bidi="ar"/>
        </w:rPr>
        <w:t>元。鉴于你单位违法持续时间较短，及时改正，废气排放时配套治污设施正常开启运行，没有造成实质性环境污染后果，且在线设施因停电故障原因未能及时联网传输数据，非主观违法故意，根据《中华人民共和国行政处罚法》第三十三条第一款：“违法行为轻微并及时改正，没有造成危害后果的，不予行政处罚。初次违法且危害后果轻微并及时改正的，可以不予行政处罚。”、参照《河南省生态环境行政处罚裁量基准适用规则（修订）》第八条第一项：“生态环境行政处罚适用裁量基准确定处罚金额后，可以根据违法行为的性质、情节、危害后果等内容，综合考量，依照本规则（可以）不予处罚、从轻处罚、减轻处罚或者从重处罚。（一）不予处罚情形：</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违法行为轻微并及时改正，没有造成危害后果的，不予行政处罚。”的规定，我 </w:t>
      </w:r>
    </w:p>
    <w:p w14:paraId="581F538D">
      <w:pPr>
        <w:keepNext w:val="0"/>
        <w:keepLines w:val="0"/>
        <w:widowControl/>
        <w:suppressLineNumbers w:val="0"/>
        <w:jc w:val="left"/>
      </w:pPr>
      <w:r>
        <w:rPr>
          <w:rFonts w:hint="eastAsia" w:ascii="仿宋" w:hAnsi="仿宋" w:eastAsia="仿宋" w:cs="仿宋"/>
          <w:color w:val="000000"/>
          <w:kern w:val="0"/>
          <w:sz w:val="32"/>
          <w:szCs w:val="32"/>
          <w:lang w:val="en-US" w:eastAsia="zh-CN" w:bidi="ar"/>
        </w:rPr>
        <w:t>局决定对你单位作出不予行政处罚的决定。你单位如不服本处罚决定，可在收到本处罚决定书之日起六十日内向安阳市人民政府申请行政复议，也可以在六个月内向焦作市解放区人民法院提起行政诉讼。</w:t>
      </w:r>
      <w:r>
        <w:rPr>
          <w:rFonts w:hint="default" w:ascii="Times New Roman" w:hAnsi="Times New Roman" w:eastAsia="宋体" w:cs="Times New Roman"/>
          <w:color w:val="000000"/>
          <w:kern w:val="0"/>
          <w:sz w:val="32"/>
          <w:szCs w:val="32"/>
          <w:lang w:val="en-US" w:eastAsia="zh-CN" w:bidi="ar"/>
        </w:rPr>
        <w:t xml:space="preserve"> </w:t>
      </w:r>
    </w:p>
    <w:p w14:paraId="21E8B0F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依据《中华人民共和国行政处罚法》第三十三条第三款的规定，对你单位进行教育，具体内容如下： </w:t>
      </w:r>
    </w:p>
    <w:p w14:paraId="034258C2">
      <w:pPr>
        <w:keepNext w:val="0"/>
        <w:keepLines w:val="0"/>
        <w:widowControl/>
        <w:numPr>
          <w:ilvl w:val="0"/>
          <w:numId w:val="1"/>
        </w:numPr>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加强对自动监测设备及电路线路的巡查、维护，确保按照规定使用自动监测设备。</w:t>
      </w:r>
      <w:r>
        <w:rPr>
          <w:rFonts w:hint="default" w:ascii="Times New Roman" w:hAnsi="Times New Roman" w:eastAsia="宋体" w:cs="Times New Roman"/>
          <w:color w:val="000000"/>
          <w:kern w:val="0"/>
          <w:sz w:val="32"/>
          <w:szCs w:val="32"/>
          <w:lang w:val="en-US" w:eastAsia="zh-CN" w:bidi="ar"/>
        </w:rPr>
        <w:t xml:space="preserve"> </w:t>
      </w:r>
    </w:p>
    <w:p w14:paraId="1A9D90F6">
      <w:pPr>
        <w:keepNext w:val="0"/>
        <w:keepLines w:val="0"/>
        <w:widowControl/>
        <w:numPr>
          <w:numId w:val="0"/>
        </w:numPr>
        <w:suppressLineNumbers w:val="0"/>
        <w:jc w:val="left"/>
        <w:rPr>
          <w:rFonts w:hint="default" w:ascii="Times New Roman" w:hAnsi="Times New Roman" w:eastAsia="宋体" w:cs="Times New Roman"/>
          <w:color w:val="000000"/>
          <w:kern w:val="0"/>
          <w:sz w:val="32"/>
          <w:szCs w:val="32"/>
          <w:lang w:val="en-US" w:eastAsia="zh-CN" w:bidi="ar"/>
        </w:rPr>
      </w:pPr>
    </w:p>
    <w:p w14:paraId="22CCF2FA">
      <w:pPr>
        <w:keepNext w:val="0"/>
        <w:keepLines w:val="0"/>
        <w:widowControl/>
        <w:numPr>
          <w:numId w:val="0"/>
        </w:numPr>
        <w:suppressLineNumbers w:val="0"/>
        <w:jc w:val="left"/>
        <w:rPr>
          <w:rFonts w:hint="default" w:ascii="Times New Roman" w:hAnsi="Times New Roman" w:eastAsia="宋体" w:cs="Times New Roman"/>
          <w:color w:val="000000"/>
          <w:kern w:val="0"/>
          <w:sz w:val="32"/>
          <w:szCs w:val="32"/>
          <w:lang w:val="en-US" w:eastAsia="zh-CN" w:bidi="ar"/>
        </w:rPr>
      </w:pPr>
    </w:p>
    <w:p w14:paraId="4E926056">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6D20E7BF">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BBCC1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9F3E9A"/>
    <w:multiLevelType w:val="singleLevel"/>
    <w:tmpl w:val="779F3E9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964F7"/>
    <w:rsid w:val="57F96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2026-05-28T07:53:00Z</dcterms:created>
  <dc:creator>Administrator</dc:creator>
  <cp:lastModifiedBy>Administrator</cp:lastModifiedBy>
  <dcterms:modified xsi:type="dcterms:W3CDTF">2026-05-28T08:00:10Z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259CAB46066246848D1A798D46B5D084_11</vt:lpwstr>
  </property>
  <property fmtid="{D5CDD505-2E9C-101B-9397-08002B2CF9AE}" pid="4" name="KSOTemplateDocerSaveRecord">
    <vt:lpwstr>eyJoZGlkIjoiZTIxN2YwZjg3Zjc3YWMwNzQ2Y2U3YTZhODA5NmVmOGQifQ==</vt:lpwstr>
  </property>
</Properties>
</file>