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line="660" w:lineRule="exact"/>
        <w:jc w:val="center"/>
        <w:textAlignment w:val="auto"/>
        <w:rPr>
          <w:rFonts w:hint="eastAsia" w:ascii="宋体" w:hAnsi="宋体" w:eastAsia="宋体" w:cs="宋体"/>
          <w:color w:val="333333"/>
          <w:spacing w:val="0"/>
          <w:sz w:val="44"/>
          <w:szCs w:val="44"/>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滑县支持文旅</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企业</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升规纳统奖补办法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color w:val="333333"/>
          <w:spacing w:val="0"/>
          <w:sz w:val="32"/>
          <w:szCs w:val="32"/>
        </w:rPr>
      </w:pP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仿宋" w:hAnsi="仿宋" w:eastAsia="仿宋" w:cs="仿宋"/>
          <w:color w:val="000000" w:themeColor="text1"/>
          <w:spacing w:val="0"/>
          <w:sz w:val="32"/>
          <w:szCs w:val="32"/>
          <w:lang w:eastAsia="zh-CN"/>
          <w14:textFill>
            <w14:solidFill>
              <w14:schemeClr w14:val="tx1"/>
            </w14:solidFill>
          </w14:textFill>
        </w:rPr>
        <w:t>为进一步</w:t>
      </w:r>
      <w:r>
        <w:rPr>
          <w:rFonts w:hint="eastAsia" w:ascii="仿宋" w:hAnsi="仿宋" w:eastAsia="仿宋" w:cs="仿宋"/>
          <w:color w:val="000000" w:themeColor="text1"/>
          <w:spacing w:val="0"/>
          <w:sz w:val="32"/>
          <w:szCs w:val="32"/>
          <w:lang w:val="en-US" w:eastAsia="zh-CN"/>
          <w14:textFill>
            <w14:solidFill>
              <w14:schemeClr w14:val="tx1"/>
            </w14:solidFill>
          </w14:textFill>
        </w:rPr>
        <w:t>激发</w:t>
      </w:r>
      <w:r>
        <w:rPr>
          <w:rFonts w:hint="eastAsia" w:ascii="仿宋" w:hAnsi="仿宋" w:eastAsia="仿宋" w:cs="仿宋"/>
          <w:color w:val="000000" w:themeColor="text1"/>
          <w:spacing w:val="0"/>
          <w:sz w:val="32"/>
          <w:szCs w:val="32"/>
          <w:lang w:eastAsia="zh-CN"/>
          <w14:textFill>
            <w14:solidFill>
              <w14:schemeClr w14:val="tx1"/>
            </w14:solidFill>
          </w14:textFill>
        </w:rPr>
        <w:t>我县文旅市场主体活力，推动更多文旅市场主体升规纳统为规上企业，根据《中共河南省委办公厅</w:t>
      </w:r>
      <w:r>
        <w:rPr>
          <w:rFonts w:hint="eastAsia" w:ascii="仿宋" w:hAnsi="仿宋" w:eastAsia="仿宋" w:cs="仿宋"/>
          <w:color w:val="000000" w:themeColor="text1"/>
          <w:spacing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sz w:val="32"/>
          <w:szCs w:val="32"/>
          <w:lang w:eastAsia="zh-CN"/>
          <w14:textFill>
            <w14:solidFill>
              <w14:schemeClr w14:val="tx1"/>
            </w14:solidFill>
          </w14:textFill>
        </w:rPr>
        <w:t>河南省人民政府办公厅印发〈关于实施文旅文创融合战略推动文化产业高质量发展的若干政策措施〉的通知》《安阳市人民政府办公室关于印发〈安阳市支持文创企业发展若干政策措施〉的通知》《安阳市持续实施“十大战略”加快构建“十大体系”考评细则》等文件精神，结合我县实际，特制定本奖补办法。</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pacing w:val="0"/>
          <w:sz w:val="32"/>
          <w:szCs w:val="32"/>
          <w:lang w:eastAsia="zh-CN"/>
          <w14:textFill>
            <w14:solidFill>
              <w14:schemeClr w14:val="tx1"/>
            </w14:solidFill>
          </w14:textFill>
        </w:rPr>
        <w:t>一、奖补对象</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仿宋" w:hAnsi="仿宋" w:eastAsia="仿宋" w:cs="仿宋"/>
          <w:color w:val="000000" w:themeColor="text1"/>
          <w:spacing w:val="0"/>
          <w:sz w:val="32"/>
          <w:szCs w:val="32"/>
          <w:lang w:eastAsia="zh-CN"/>
          <w14:textFill>
            <w14:solidFill>
              <w14:schemeClr w14:val="tx1"/>
            </w14:solidFill>
          </w14:textFill>
        </w:rPr>
        <w:t>在滑县范围内办理工商注册和税务登记，</w:t>
      </w:r>
      <w:r>
        <w:rPr>
          <w:rFonts w:hint="eastAsia" w:ascii="仿宋" w:hAnsi="仿宋" w:eastAsia="仿宋" w:cs="仿宋"/>
          <w:color w:val="000000" w:themeColor="text1"/>
          <w:spacing w:val="0"/>
          <w:sz w:val="32"/>
          <w:szCs w:val="32"/>
          <w:lang w:val="en-US" w:eastAsia="zh-CN"/>
          <w14:textFill>
            <w14:solidFill>
              <w14:schemeClr w14:val="tx1"/>
            </w14:solidFill>
          </w14:textFill>
        </w:rPr>
        <w:t>2024年</w:t>
      </w:r>
      <w:r>
        <w:rPr>
          <w:rFonts w:hint="eastAsia" w:ascii="仿宋" w:hAnsi="仿宋" w:eastAsia="仿宋" w:cs="仿宋"/>
          <w:color w:val="000000" w:themeColor="text1"/>
          <w:spacing w:val="0"/>
          <w:sz w:val="32"/>
          <w:szCs w:val="32"/>
          <w:lang w:eastAsia="zh-CN"/>
          <w14:textFill>
            <w14:solidFill>
              <w14:schemeClr w14:val="tx1"/>
            </w14:solidFill>
          </w14:textFill>
        </w:rPr>
        <w:t>首次纳入统计部门联网直报平台的规模文旅企业。</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黑体" w:hAnsi="黑体" w:eastAsia="黑体" w:cs="黑体"/>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pacing w:val="0"/>
          <w:sz w:val="32"/>
          <w:szCs w:val="32"/>
          <w:lang w:eastAsia="zh-CN"/>
          <w14:textFill>
            <w14:solidFill>
              <w14:schemeClr w14:val="tx1"/>
            </w14:solidFill>
          </w14:textFill>
        </w:rPr>
        <w:t>二、奖补标准</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default" w:ascii="楷体" w:hAnsi="楷体" w:eastAsia="楷体" w:cs="楷体"/>
          <w:color w:val="000000" w:themeColor="text1"/>
          <w:spacing w:val="0"/>
          <w:sz w:val="32"/>
          <w:szCs w:val="32"/>
          <w:lang w:val="en-US" w:eastAsia="zh-CN"/>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经认定，对符合奖补条件的文旅企业给予一次性资金奖励20万元。</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黑体" w:hAnsi="黑体" w:eastAsia="黑体" w:cs="黑体"/>
          <w:color w:val="000000" w:themeColor="text1"/>
          <w:spacing w:val="0"/>
          <w:sz w:val="32"/>
          <w:szCs w:val="32"/>
          <w:lang w:val="en-US" w:eastAsia="zh-CN"/>
          <w14:textFill>
            <w14:solidFill>
              <w14:schemeClr w14:val="tx1"/>
            </w14:solidFill>
          </w14:textFill>
        </w:rPr>
      </w:pPr>
      <w:r>
        <w:rPr>
          <w:rFonts w:hint="eastAsia" w:ascii="黑体" w:hAnsi="黑体" w:eastAsia="黑体" w:cs="黑体"/>
          <w:color w:val="000000" w:themeColor="text1"/>
          <w:spacing w:val="0"/>
          <w:sz w:val="32"/>
          <w:szCs w:val="32"/>
          <w:lang w:val="en-US" w:eastAsia="zh-CN"/>
          <w14:textFill>
            <w14:solidFill>
              <w14:schemeClr w14:val="tx1"/>
            </w14:solidFill>
          </w14:textFill>
        </w:rPr>
        <w:t>三、奖补资金申报程序</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楷体" w:hAnsi="楷体" w:eastAsia="楷体" w:cs="楷体"/>
          <w:color w:val="000000" w:themeColor="text1"/>
          <w:spacing w:val="0"/>
          <w:sz w:val="32"/>
          <w:szCs w:val="32"/>
          <w:lang w:val="en-US" w:eastAsia="zh-CN"/>
          <w14:textFill>
            <w14:solidFill>
              <w14:schemeClr w14:val="tx1"/>
            </w14:solidFill>
          </w14:textFill>
        </w:rPr>
      </w:pPr>
      <w:r>
        <w:rPr>
          <w:rFonts w:hint="eastAsia" w:ascii="楷体" w:hAnsi="楷体" w:eastAsia="楷体" w:cs="楷体"/>
          <w:color w:val="000000" w:themeColor="text1"/>
          <w:spacing w:val="0"/>
          <w:sz w:val="32"/>
          <w:szCs w:val="32"/>
          <w:lang w:val="en-US" w:eastAsia="zh-CN"/>
          <w14:textFill>
            <w14:solidFill>
              <w14:schemeClr w14:val="tx1"/>
            </w14:solidFill>
          </w14:textFill>
        </w:rPr>
        <w:t>（一）企业申请</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2024年达到上规（上限）入统标准，且于2024年12月31日前</w:t>
      </w:r>
      <w:r>
        <w:rPr>
          <w:rFonts w:hint="eastAsia" w:ascii="仿宋" w:hAnsi="仿宋" w:eastAsia="仿宋" w:cs="仿宋"/>
          <w:color w:val="000000" w:themeColor="text1"/>
          <w:spacing w:val="0"/>
          <w:sz w:val="32"/>
          <w:szCs w:val="32"/>
          <w:lang w:eastAsia="zh-CN"/>
          <w14:textFill>
            <w14:solidFill>
              <w14:schemeClr w14:val="tx1"/>
            </w14:solidFill>
          </w14:textFill>
        </w:rPr>
        <w:t>在统计局入库成功的文旅企业</w:t>
      </w:r>
      <w:r>
        <w:rPr>
          <w:rFonts w:hint="eastAsia" w:ascii="仿宋" w:hAnsi="仿宋" w:eastAsia="仿宋" w:cs="仿宋"/>
          <w:color w:val="000000" w:themeColor="text1"/>
          <w:spacing w:val="0"/>
          <w:sz w:val="32"/>
          <w:szCs w:val="32"/>
          <w14:textFill>
            <w14:solidFill>
              <w14:schemeClr w14:val="tx1"/>
            </w14:solidFill>
          </w14:textFill>
        </w:rPr>
        <w:t>，</w:t>
      </w:r>
      <w:r>
        <w:rPr>
          <w:rFonts w:hint="eastAsia" w:ascii="仿宋" w:hAnsi="仿宋" w:eastAsia="仿宋" w:cs="仿宋"/>
          <w:color w:val="000000" w:themeColor="text1"/>
          <w:spacing w:val="0"/>
          <w:sz w:val="32"/>
          <w:szCs w:val="32"/>
          <w:lang w:eastAsia="zh-CN"/>
          <w14:textFill>
            <w14:solidFill>
              <w14:schemeClr w14:val="tx1"/>
            </w14:solidFill>
          </w14:textFill>
        </w:rPr>
        <w:t>于入统手续完成后</w:t>
      </w:r>
      <w:r>
        <w:rPr>
          <w:rFonts w:hint="eastAsia" w:ascii="仿宋" w:hAnsi="仿宋" w:eastAsia="仿宋" w:cs="仿宋"/>
          <w:color w:val="000000" w:themeColor="text1"/>
          <w:spacing w:val="0"/>
          <w:sz w:val="32"/>
          <w:szCs w:val="32"/>
          <w:lang w:val="en-US" w:eastAsia="zh-CN"/>
          <w14:textFill>
            <w14:solidFill>
              <w14:schemeClr w14:val="tx1"/>
            </w14:solidFill>
          </w14:textFill>
        </w:rPr>
        <w:t>15日内</w:t>
      </w:r>
      <w:r>
        <w:rPr>
          <w:rFonts w:hint="eastAsia" w:ascii="仿宋" w:hAnsi="仿宋" w:eastAsia="仿宋" w:cs="仿宋"/>
          <w:color w:val="000000" w:themeColor="text1"/>
          <w:spacing w:val="0"/>
          <w:sz w:val="32"/>
          <w:szCs w:val="32"/>
          <w:lang w:eastAsia="zh-CN"/>
          <w14:textFill>
            <w14:solidFill>
              <w14:schemeClr w14:val="tx1"/>
            </w14:solidFill>
          </w14:textFill>
        </w:rPr>
        <w:t>向县文化广电体育旅游局</w:t>
      </w:r>
      <w:r>
        <w:rPr>
          <w:rFonts w:hint="eastAsia" w:ascii="仿宋" w:hAnsi="仿宋" w:eastAsia="仿宋" w:cs="仿宋"/>
          <w:color w:val="000000" w:themeColor="text1"/>
          <w:spacing w:val="0"/>
          <w:sz w:val="32"/>
          <w:szCs w:val="32"/>
          <w14:textFill>
            <w14:solidFill>
              <w14:schemeClr w14:val="tx1"/>
            </w14:solidFill>
          </w14:textFill>
        </w:rPr>
        <w:t>申报《</w:t>
      </w:r>
      <w:r>
        <w:rPr>
          <w:rFonts w:hint="eastAsia" w:ascii="仿宋" w:hAnsi="仿宋" w:eastAsia="仿宋" w:cs="仿宋"/>
          <w:color w:val="000000" w:themeColor="text1"/>
          <w:spacing w:val="0"/>
          <w:sz w:val="32"/>
          <w:szCs w:val="32"/>
          <w:lang w:eastAsia="zh-CN"/>
          <w14:textFill>
            <w14:solidFill>
              <w14:schemeClr w14:val="tx1"/>
            </w14:solidFill>
          </w14:textFill>
        </w:rPr>
        <w:t>文旅</w:t>
      </w:r>
      <w:r>
        <w:rPr>
          <w:rFonts w:hint="eastAsia" w:ascii="仿宋" w:hAnsi="仿宋" w:eastAsia="仿宋" w:cs="仿宋"/>
          <w:color w:val="000000" w:themeColor="text1"/>
          <w:spacing w:val="0"/>
          <w:sz w:val="32"/>
          <w:szCs w:val="32"/>
          <w14:textFill>
            <w14:solidFill>
              <w14:schemeClr w14:val="tx1"/>
            </w14:solidFill>
          </w14:textFill>
        </w:rPr>
        <w:t>企业首次</w:t>
      </w:r>
      <w:r>
        <w:rPr>
          <w:rFonts w:hint="eastAsia" w:ascii="仿宋" w:hAnsi="仿宋" w:eastAsia="仿宋" w:cs="仿宋"/>
          <w:color w:val="000000" w:themeColor="text1"/>
          <w:spacing w:val="0"/>
          <w:sz w:val="32"/>
          <w:szCs w:val="32"/>
          <w:lang w:eastAsia="zh-CN"/>
          <w14:textFill>
            <w14:solidFill>
              <w14:schemeClr w14:val="tx1"/>
            </w14:solidFill>
          </w14:textFill>
        </w:rPr>
        <w:t>入统</w:t>
      </w:r>
      <w:r>
        <w:rPr>
          <w:rFonts w:hint="eastAsia" w:ascii="仿宋" w:hAnsi="仿宋" w:eastAsia="仿宋" w:cs="仿宋"/>
          <w:color w:val="000000" w:themeColor="text1"/>
          <w:spacing w:val="0"/>
          <w:sz w:val="32"/>
          <w:szCs w:val="32"/>
          <w14:textFill>
            <w14:solidFill>
              <w14:schemeClr w14:val="tx1"/>
            </w14:solidFill>
          </w14:textFill>
        </w:rPr>
        <w:t>奖补申请表》（详见附件），企业申报资料要符合规定要求。</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rightChars="0" w:firstLine="640" w:firstLineChars="200"/>
        <w:jc w:val="both"/>
        <w:textAlignment w:val="auto"/>
        <w:rPr>
          <w:rFonts w:hint="eastAsia" w:ascii="楷体" w:hAnsi="楷体" w:eastAsia="楷体" w:cs="楷体"/>
          <w:color w:val="000000" w:themeColor="text1"/>
          <w:spacing w:val="0"/>
          <w:sz w:val="32"/>
          <w:szCs w:val="32"/>
          <w:lang w:val="en-US" w:eastAsia="zh-CN"/>
          <w14:textFill>
            <w14:solidFill>
              <w14:schemeClr w14:val="tx1"/>
            </w14:solidFill>
          </w14:textFill>
        </w:rPr>
      </w:pPr>
      <w:r>
        <w:rPr>
          <w:rFonts w:hint="eastAsia" w:ascii="楷体" w:hAnsi="楷体" w:eastAsia="楷体" w:cs="楷体"/>
          <w:color w:val="000000" w:themeColor="text1"/>
          <w:spacing w:val="0"/>
          <w:sz w:val="32"/>
          <w:szCs w:val="32"/>
          <w:lang w:val="en-US" w:eastAsia="zh-CN"/>
          <w14:textFill>
            <w14:solidFill>
              <w14:schemeClr w14:val="tx1"/>
            </w14:solidFill>
          </w14:textFill>
        </w:rPr>
        <w:t>（二）主管部门审核</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rightChars="0" w:firstLine="640" w:firstLineChars="200"/>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县文化广电体育旅游局组织企业进行奖补资金申报工作，并对企业申报资料进行审核，审核内容主要包括企业申报材料是否规范、企业经营情况是否正常、</w:t>
      </w:r>
      <w:r>
        <w:rPr>
          <w:rFonts w:hint="eastAsia" w:ascii="仿宋" w:hAnsi="仿宋" w:eastAsia="仿宋" w:cs="仿宋"/>
          <w:color w:val="000000" w:themeColor="text1"/>
          <w:spacing w:val="0"/>
          <w:sz w:val="32"/>
          <w:szCs w:val="32"/>
          <w14:textFill>
            <w14:solidFill>
              <w14:schemeClr w14:val="tx1"/>
            </w14:solidFill>
          </w14:textFill>
        </w:rPr>
        <w:t>相关资料是否符合条件、是否按照规定入库且通过联网直报系统及时准确报送数据、是否存在虚假申报等</w:t>
      </w:r>
      <w:r>
        <w:rPr>
          <w:rFonts w:hint="eastAsia" w:ascii="仿宋" w:hAnsi="仿宋" w:eastAsia="仿宋" w:cs="仿宋"/>
          <w:color w:val="000000" w:themeColor="text1"/>
          <w:spacing w:val="0"/>
          <w:sz w:val="32"/>
          <w:szCs w:val="32"/>
          <w:lang w:eastAsia="zh-CN"/>
          <w14:textFill>
            <w14:solidFill>
              <w14:schemeClr w14:val="tx1"/>
            </w14:solidFill>
          </w14:textFill>
        </w:rPr>
        <w:t>。</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rightChars="0" w:firstLine="640" w:firstLineChars="200"/>
        <w:jc w:val="both"/>
        <w:textAlignment w:val="auto"/>
        <w:rPr>
          <w:rFonts w:hint="eastAsia" w:ascii="楷体" w:hAnsi="楷体" w:eastAsia="楷体" w:cs="楷体"/>
          <w:color w:val="000000" w:themeColor="text1"/>
          <w:spacing w:val="0"/>
          <w:sz w:val="32"/>
          <w:szCs w:val="32"/>
          <w:lang w:val="en-US" w:eastAsia="zh-CN"/>
          <w14:textFill>
            <w14:solidFill>
              <w14:schemeClr w14:val="tx1"/>
            </w14:solidFill>
          </w14:textFill>
        </w:rPr>
      </w:pPr>
      <w:r>
        <w:rPr>
          <w:rFonts w:hint="eastAsia" w:ascii="楷体" w:hAnsi="楷体" w:eastAsia="楷体" w:cs="楷体"/>
          <w:color w:val="000000" w:themeColor="text1"/>
          <w:spacing w:val="0"/>
          <w:sz w:val="32"/>
          <w:szCs w:val="32"/>
          <w:lang w:val="en-US" w:eastAsia="zh-CN"/>
          <w14:textFill>
            <w14:solidFill>
              <w14:schemeClr w14:val="tx1"/>
            </w14:solidFill>
          </w14:textFill>
        </w:rPr>
        <w:t>（三）公示</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default" w:ascii="仿宋" w:hAnsi="仿宋" w:eastAsia="仿宋" w:cs="仿宋"/>
          <w:color w:val="000000" w:themeColor="text1"/>
          <w:spacing w:val="0"/>
          <w:sz w:val="32"/>
          <w:szCs w:val="32"/>
          <w:lang w:val="en-US" w:eastAsia="zh-CN"/>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审核结果在滑县人民政府网向社会公示，公示期为5个工作日。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6"/>
        <w:jc w:val="both"/>
        <w:textAlignment w:val="auto"/>
        <w:rPr>
          <w:rFonts w:hint="eastAsia" w:ascii="楷体" w:hAnsi="楷体" w:eastAsia="楷体" w:cs="楷体"/>
          <w:color w:val="000000" w:themeColor="text1"/>
          <w:spacing w:val="0"/>
          <w:sz w:val="32"/>
          <w:szCs w:val="32"/>
          <w:lang w:val="en-US" w:eastAsia="zh-CN"/>
          <w14:textFill>
            <w14:solidFill>
              <w14:schemeClr w14:val="tx1"/>
            </w14:solidFill>
          </w14:textFill>
        </w:rPr>
      </w:pPr>
      <w:r>
        <w:rPr>
          <w:rFonts w:hint="eastAsia" w:ascii="楷体" w:hAnsi="楷体" w:eastAsia="楷体" w:cs="楷体"/>
          <w:color w:val="000000" w:themeColor="text1"/>
          <w:spacing w:val="0"/>
          <w:sz w:val="32"/>
          <w:szCs w:val="32"/>
          <w:lang w:val="en-US" w:eastAsia="zh-CN"/>
          <w14:textFill>
            <w14:solidFill>
              <w14:schemeClr w14:val="tx1"/>
            </w14:solidFill>
          </w14:textFill>
        </w:rPr>
        <w:t>（四）资金拨付</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6"/>
        <w:jc w:val="both"/>
        <w:textAlignment w:val="auto"/>
        <w:rPr>
          <w:rFonts w:hint="eastAsia" w:ascii="仿宋" w:hAnsi="仿宋" w:eastAsia="仿宋" w:cs="仿宋"/>
          <w:color w:val="000000" w:themeColor="text1"/>
          <w:spacing w:val="0"/>
          <w:sz w:val="32"/>
          <w:szCs w:val="32"/>
          <w:lang w:val="en-US" w:eastAsia="zh-CN"/>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公示无异议后，县文化广电体育旅游局按相关程序向县财政局申请核拨经费。</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rightChars="0" w:firstLine="646"/>
        <w:jc w:val="both"/>
        <w:textAlignment w:val="auto"/>
        <w:rPr>
          <w:rFonts w:hint="eastAsia" w:ascii="黑体" w:hAnsi="黑体" w:eastAsia="黑体" w:cs="黑体"/>
          <w:color w:val="000000" w:themeColor="text1"/>
          <w:spacing w:val="0"/>
          <w:sz w:val="32"/>
          <w:szCs w:val="32"/>
          <w:lang w:eastAsia="zh-CN"/>
          <w14:textFill>
            <w14:solidFill>
              <w14:schemeClr w14:val="tx1"/>
            </w14:solidFill>
          </w14:textFill>
        </w:rPr>
      </w:pPr>
      <w:r>
        <w:rPr>
          <w:rFonts w:hint="eastAsia" w:ascii="黑体" w:hAnsi="黑体" w:eastAsia="黑体" w:cs="黑体"/>
          <w:color w:val="000000" w:themeColor="text1"/>
          <w:spacing w:val="0"/>
          <w:sz w:val="32"/>
          <w:szCs w:val="32"/>
          <w:lang w:eastAsia="zh-CN"/>
          <w14:textFill>
            <w14:solidFill>
              <w14:schemeClr w14:val="tx1"/>
            </w14:solidFill>
          </w14:textFill>
        </w:rPr>
        <w:t>四、保障措施</w:t>
      </w:r>
    </w:p>
    <w:p>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楷体" w:hAnsi="楷体" w:eastAsia="楷体" w:cs="楷体"/>
          <w:color w:val="000000" w:themeColor="text1"/>
          <w:spacing w:val="0"/>
          <w:sz w:val="32"/>
          <w:szCs w:val="32"/>
          <w:lang w:eastAsia="zh-CN"/>
          <w14:textFill>
            <w14:solidFill>
              <w14:schemeClr w14:val="tx1"/>
            </w14:solidFill>
          </w14:textFill>
        </w:rPr>
        <w:t>（</w:t>
      </w:r>
      <w:r>
        <w:rPr>
          <w:rFonts w:hint="eastAsia" w:ascii="楷体" w:hAnsi="楷体" w:eastAsia="楷体" w:cs="楷体"/>
          <w:color w:val="000000" w:themeColor="text1"/>
          <w:spacing w:val="0"/>
          <w:sz w:val="32"/>
          <w:szCs w:val="32"/>
          <w:lang w:val="en-US" w:eastAsia="zh-CN"/>
          <w14:textFill>
            <w14:solidFill>
              <w14:schemeClr w14:val="tx1"/>
            </w14:solidFill>
          </w14:textFill>
        </w:rPr>
        <w:t>一</w:t>
      </w:r>
      <w:r>
        <w:rPr>
          <w:rFonts w:hint="eastAsia" w:ascii="楷体" w:hAnsi="楷体" w:eastAsia="楷体" w:cs="楷体"/>
          <w:color w:val="000000" w:themeColor="text1"/>
          <w:spacing w:val="0"/>
          <w:sz w:val="32"/>
          <w:szCs w:val="32"/>
          <w:lang w:eastAsia="zh-CN"/>
          <w14:textFill>
            <w14:solidFill>
              <w14:schemeClr w14:val="tx1"/>
            </w14:solidFill>
          </w14:textFill>
        </w:rPr>
        <w:t>）加强组织领导。</w:t>
      </w:r>
      <w:r>
        <w:rPr>
          <w:rFonts w:hint="eastAsia" w:ascii="仿宋" w:hAnsi="仿宋" w:eastAsia="仿宋" w:cs="仿宋"/>
          <w:color w:val="000000" w:themeColor="text1"/>
          <w:spacing w:val="0"/>
          <w:sz w:val="32"/>
          <w:szCs w:val="32"/>
          <w:lang w:eastAsia="zh-CN"/>
          <w14:textFill>
            <w14:solidFill>
              <w14:schemeClr w14:val="tx1"/>
            </w14:solidFill>
          </w14:textFill>
        </w:rPr>
        <w:t>县文旅、统计、税务、财政等部门要高度重视奖补办法的落实工作，紧紧围绕规上文旅企业培育目标，强化组织领导，抓好责任落实；要建立有效的沟通协调机制，各司其职，共同推动规上文旅企业培育工作。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5"/>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楷体" w:hAnsi="楷体" w:eastAsia="楷体" w:cs="楷体"/>
          <w:color w:val="000000" w:themeColor="text1"/>
          <w:spacing w:val="0"/>
          <w:sz w:val="32"/>
          <w:szCs w:val="32"/>
          <w:lang w:eastAsia="zh-CN"/>
          <w14:textFill>
            <w14:solidFill>
              <w14:schemeClr w14:val="tx1"/>
            </w14:solidFill>
          </w14:textFill>
        </w:rPr>
        <w:t>（二）加强工作指导。</w:t>
      </w:r>
      <w:r>
        <w:rPr>
          <w:rFonts w:hint="eastAsia" w:ascii="仿宋" w:hAnsi="仿宋" w:eastAsia="仿宋" w:cs="仿宋"/>
          <w:color w:val="000000" w:themeColor="text1"/>
          <w:spacing w:val="0"/>
          <w:sz w:val="32"/>
          <w:szCs w:val="32"/>
          <w:lang w:eastAsia="zh-CN"/>
          <w14:textFill>
            <w14:solidFill>
              <w14:schemeClr w14:val="tx1"/>
            </w14:solidFill>
          </w14:textFill>
        </w:rPr>
        <w:t>县文旅、统计、税务等部门要加强对企业奖补资金申报工作的指导，做好数据核实工作。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5"/>
        <w:jc w:val="both"/>
        <w:textAlignment w:val="auto"/>
        <w:rPr>
          <w:rFonts w:hint="eastAsia" w:ascii="仿宋" w:hAnsi="仿宋" w:eastAsia="仿宋" w:cs="仿宋"/>
          <w:color w:val="000000" w:themeColor="text1"/>
          <w:spacing w:val="0"/>
          <w:sz w:val="32"/>
          <w:szCs w:val="32"/>
          <w:lang w:eastAsia="zh-CN"/>
          <w14:textFill>
            <w14:solidFill>
              <w14:schemeClr w14:val="tx1"/>
            </w14:solidFill>
          </w14:textFill>
        </w:rPr>
      </w:pPr>
      <w:r>
        <w:rPr>
          <w:rFonts w:hint="eastAsia" w:ascii="楷体" w:hAnsi="楷体" w:eastAsia="楷体" w:cs="楷体"/>
          <w:color w:val="000000" w:themeColor="text1"/>
          <w:spacing w:val="0"/>
          <w:sz w:val="32"/>
          <w:szCs w:val="32"/>
          <w:lang w:eastAsia="zh-CN"/>
          <w14:textFill>
            <w14:solidFill>
              <w14:schemeClr w14:val="tx1"/>
            </w14:solidFill>
          </w14:textFill>
        </w:rPr>
        <w:t>（三）强化宣传引导。</w:t>
      </w:r>
      <w:r>
        <w:rPr>
          <w:rFonts w:hint="eastAsia" w:ascii="仿宋" w:hAnsi="仿宋" w:eastAsia="仿宋" w:cs="仿宋"/>
          <w:color w:val="000000" w:themeColor="text1"/>
          <w:spacing w:val="0"/>
          <w:sz w:val="32"/>
          <w:szCs w:val="32"/>
          <w:lang w:eastAsia="zh-CN"/>
          <w14:textFill>
            <w14:solidFill>
              <w14:schemeClr w14:val="tx1"/>
            </w14:solidFill>
          </w14:textFill>
        </w:rPr>
        <w:t>县文旅、统计、税务等部门要加强规上文旅企业培育奖补支持政策的宣传力度，切实增强企业发展壮大的信心，消除不必要的顾虑，积极营造培育企业上规（上限）</w:t>
      </w:r>
      <w:r>
        <w:rPr>
          <w:rFonts w:hint="eastAsia" w:ascii="仿宋" w:hAnsi="仿宋" w:eastAsia="仿宋" w:cs="仿宋"/>
          <w:color w:val="000000" w:themeColor="text1"/>
          <w:spacing w:val="0"/>
          <w:sz w:val="32"/>
          <w:szCs w:val="32"/>
          <w:lang w:val="en-US" w:eastAsia="zh-CN"/>
          <w14:textFill>
            <w14:solidFill>
              <w14:schemeClr w14:val="tx1"/>
            </w14:solidFill>
          </w14:textFill>
        </w:rPr>
        <w:t>纳</w:t>
      </w:r>
      <w:r>
        <w:rPr>
          <w:rFonts w:hint="eastAsia" w:ascii="仿宋" w:hAnsi="仿宋" w:eastAsia="仿宋" w:cs="仿宋"/>
          <w:color w:val="000000" w:themeColor="text1"/>
          <w:spacing w:val="0"/>
          <w:sz w:val="32"/>
          <w:szCs w:val="32"/>
          <w:lang w:eastAsia="zh-CN"/>
          <w14:textFill>
            <w14:solidFill>
              <w14:schemeClr w14:val="tx1"/>
            </w14:solidFill>
          </w14:textFill>
        </w:rPr>
        <w:t>统的良好工作氛围。</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五、附则</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5"/>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0"/>
          <w:sz w:val="32"/>
          <w:szCs w:val="32"/>
          <w14:textFill>
            <w14:solidFill>
              <w14:schemeClr w14:val="tx1"/>
            </w14:solidFill>
          </w14:textFill>
        </w:rPr>
        <w:t>（一）企业的生产经营数据均以企业的会计报表数据为准。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5"/>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0"/>
          <w:sz w:val="32"/>
          <w:szCs w:val="32"/>
          <w14:textFill>
            <w14:solidFill>
              <w14:schemeClr w14:val="tx1"/>
            </w14:solidFill>
          </w14:textFill>
        </w:rPr>
        <w:t>（二）本实施细则</w:t>
      </w:r>
      <w:r>
        <w:rPr>
          <w:rFonts w:hint="eastAsia" w:ascii="仿宋" w:hAnsi="仿宋" w:eastAsia="仿宋" w:cs="仿宋"/>
          <w:color w:val="000000" w:themeColor="text1"/>
          <w:spacing w:val="0"/>
          <w:sz w:val="32"/>
          <w:szCs w:val="32"/>
          <w:lang w:eastAsia="zh-CN"/>
          <w14:textFill>
            <w14:solidFill>
              <w14:schemeClr w14:val="tx1"/>
            </w14:solidFill>
          </w14:textFill>
        </w:rPr>
        <w:t>县文化广电体育旅游局</w:t>
      </w:r>
      <w:r>
        <w:rPr>
          <w:rFonts w:hint="eastAsia" w:ascii="仿宋" w:hAnsi="仿宋" w:eastAsia="仿宋" w:cs="仿宋"/>
          <w:color w:val="000000" w:themeColor="text1"/>
          <w:spacing w:val="0"/>
          <w:sz w:val="32"/>
          <w:szCs w:val="32"/>
          <w14:textFill>
            <w14:solidFill>
              <w14:schemeClr w14:val="tx1"/>
            </w14:solidFill>
          </w14:textFill>
        </w:rPr>
        <w:t>负责解释。</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5"/>
        <w:jc w:val="both"/>
        <w:textAlignment w:val="auto"/>
        <w:rPr>
          <w:rFonts w:hint="eastAsia" w:asciiTheme="majorEastAsia" w:hAnsiTheme="majorEastAsia" w:eastAsiaTheme="majorEastAsia" w:cstheme="majorEastAsia"/>
          <w:b/>
          <w:bCs/>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pacing w:val="0"/>
          <w:sz w:val="32"/>
          <w:szCs w:val="32"/>
          <w14:textFill>
            <w14:solidFill>
              <w14:schemeClr w14:val="tx1"/>
            </w14:solidFill>
          </w14:textFill>
        </w:rPr>
        <w:t>（三）本实施细则自下发之日起实施。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附件：文旅企业首次入统奖补申请表</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heme="majorEastAsia" w:hAnsiTheme="majorEastAsia" w:eastAsiaTheme="majorEastAsia" w:cstheme="majorEastAsia"/>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 w:hAnsi="仿宋" w:eastAsia="仿宋" w:cs="仿宋"/>
          <w:color w:val="333333"/>
          <w:spacing w:val="0"/>
          <w:kern w:val="0"/>
          <w:sz w:val="32"/>
          <w:szCs w:val="32"/>
          <w:lang w:val="en-US" w:eastAsia="zh-CN" w:bidi="ar"/>
        </w:rPr>
      </w:pPr>
      <w:r>
        <w:rPr>
          <w:rFonts w:hint="eastAsia" w:ascii="仿宋" w:hAnsi="仿宋" w:eastAsia="仿宋" w:cs="仿宋"/>
          <w:color w:val="333333"/>
          <w:spacing w:val="0"/>
          <w:kern w:val="0"/>
          <w:sz w:val="32"/>
          <w:szCs w:val="32"/>
          <w:lang w:val="en-US" w:eastAsia="zh-CN" w:bidi="ar"/>
        </w:rPr>
        <w:t>2024年5月23日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333333"/>
          <w:spacing w:val="0"/>
          <w:kern w:val="0"/>
          <w:sz w:val="32"/>
          <w:szCs w:val="32"/>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bCs/>
          <w:sz w:val="32"/>
          <w:szCs w:val="32"/>
          <w:lang w:eastAsia="zh-CN"/>
        </w:rPr>
      </w:pPr>
    </w:p>
    <w:p>
      <w:pPr>
        <w:rPr>
          <w:rFonts w:hint="eastAsia" w:asciiTheme="majorEastAsia" w:hAnsiTheme="majorEastAsia" w:eastAsiaTheme="majorEastAsia" w:cstheme="majorEastAsia"/>
          <w:b/>
          <w:bCs/>
          <w:sz w:val="32"/>
          <w:szCs w:val="32"/>
          <w:lang w:eastAsia="zh-CN"/>
        </w:rPr>
      </w:pPr>
      <w:r>
        <w:rPr>
          <w:rFonts w:hint="eastAsia" w:asciiTheme="majorEastAsia" w:hAnsiTheme="majorEastAsia" w:eastAsiaTheme="majorEastAsia" w:cstheme="majorEastAsia"/>
          <w:b/>
          <w:bCs/>
          <w:sz w:val="32"/>
          <w:szCs w:val="32"/>
          <w:lang w:eastAsia="zh-CN"/>
        </w:rPr>
        <w:br w:type="page"/>
      </w:r>
    </w:p>
    <w:p>
      <w:pPr>
        <w:pStyle w:val="2"/>
        <w:keepNext w:val="0"/>
        <w:keepLines w:val="0"/>
        <w:widowControl/>
        <w:suppressLineNumbers w:val="0"/>
        <w:spacing w:before="225" w:beforeAutospacing="0" w:line="525" w:lineRule="atLeast"/>
        <w:jc w:val="left"/>
        <w:rPr>
          <w:rFonts w:hint="eastAsia" w:asciiTheme="majorEastAsia" w:hAnsiTheme="majorEastAsia" w:eastAsiaTheme="majorEastAsia" w:cstheme="majorEastAsia"/>
          <w:b/>
          <w:bCs/>
          <w:sz w:val="32"/>
          <w:szCs w:val="32"/>
          <w:lang w:eastAsia="zh-CN"/>
        </w:rPr>
      </w:pPr>
      <w:r>
        <w:rPr>
          <w:rFonts w:hint="eastAsia" w:asciiTheme="majorEastAsia" w:hAnsiTheme="majorEastAsia" w:eastAsiaTheme="majorEastAsia" w:cstheme="majorEastAsia"/>
          <w:b/>
          <w:bCs/>
          <w:sz w:val="32"/>
          <w:szCs w:val="32"/>
          <w:lang w:eastAsia="zh-CN"/>
        </w:rPr>
        <w:t>附件</w:t>
      </w:r>
    </w:p>
    <w:p>
      <w:pPr>
        <w:pStyle w:val="2"/>
        <w:keepNext w:val="0"/>
        <w:keepLines w:val="0"/>
        <w:widowControl/>
        <w:suppressLineNumbers w:val="0"/>
        <w:spacing w:before="225" w:beforeAutospacing="0" w:line="525" w:lineRule="atLeast"/>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color w:val="333333"/>
          <w:spacing w:val="0"/>
          <w:sz w:val="44"/>
          <w:szCs w:val="44"/>
          <w:lang w:val="en-US" w:eastAsia="zh-CN"/>
        </w:rPr>
        <w:t>文旅企业首次入统奖补申请表</w:t>
      </w:r>
    </w:p>
    <w:tbl>
      <w:tblPr>
        <w:tblStyle w:val="3"/>
        <w:tblW w:w="0" w:type="auto"/>
        <w:jc w:val="center"/>
        <w:tblCellSpacing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Layout w:type="autofit"/>
        <w:tblCellMar>
          <w:top w:w="0" w:type="dxa"/>
          <w:left w:w="0" w:type="dxa"/>
          <w:bottom w:w="0" w:type="dxa"/>
          <w:right w:w="0" w:type="dxa"/>
        </w:tblCellMar>
      </w:tblPr>
      <w:tblGrid>
        <w:gridCol w:w="2529"/>
        <w:gridCol w:w="1038"/>
        <w:gridCol w:w="1137"/>
        <w:gridCol w:w="1543"/>
        <w:gridCol w:w="1027"/>
        <w:gridCol w:w="127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1833" w:hRule="atLeast"/>
          <w:tblCellSpacing w:w="0" w:type="dxa"/>
          <w:jc w:val="center"/>
        </w:trPr>
        <w:tc>
          <w:tcPr>
            <w:tcW w:w="2529"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before="225" w:beforeAutospacing="0" w:line="450" w:lineRule="atLeast"/>
              <w:jc w:val="both"/>
              <w:rPr>
                <w:rFonts w:hint="eastAsia" w:ascii="仿宋" w:hAnsi="仿宋" w:eastAsia="仿宋" w:cs="仿宋"/>
                <w:sz w:val="28"/>
                <w:szCs w:val="28"/>
              </w:rPr>
            </w:pPr>
            <w:r>
              <w:rPr>
                <w:rFonts w:hint="eastAsia" w:ascii="仿宋" w:hAnsi="仿宋" w:eastAsia="仿宋" w:cs="仿宋"/>
                <w:color w:val="333333"/>
                <w:sz w:val="28"/>
                <w:szCs w:val="28"/>
              </w:rPr>
              <w:t>企业名称（盖章）</w:t>
            </w:r>
          </w:p>
        </w:tc>
        <w:tc>
          <w:tcPr>
            <w:tcW w:w="6017" w:type="dxa"/>
            <w:gridSpan w:val="5"/>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90"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企业经营地址</w:t>
            </w:r>
          </w:p>
        </w:tc>
        <w:tc>
          <w:tcPr>
            <w:tcW w:w="6017"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1593"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企业统一信用</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代码</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ind w:left="-105" w:right="-105"/>
              <w:jc w:val="center"/>
              <w:rPr>
                <w:rFonts w:hint="eastAsia" w:ascii="仿宋" w:hAnsi="仿宋" w:eastAsia="仿宋" w:cs="仿宋"/>
                <w:sz w:val="28"/>
                <w:szCs w:val="28"/>
              </w:rPr>
            </w:pPr>
            <w:r>
              <w:rPr>
                <w:rFonts w:hint="eastAsia" w:ascii="仿宋" w:hAnsi="仿宋" w:eastAsia="仿宋" w:cs="仿宋"/>
                <w:color w:val="333333"/>
                <w:sz w:val="28"/>
                <w:szCs w:val="28"/>
              </w:rPr>
              <w:t>企业联系电话</w:t>
            </w:r>
          </w:p>
        </w:tc>
        <w:tc>
          <w:tcPr>
            <w:tcW w:w="2299"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849"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企业法人</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ind w:left="-105" w:right="-105"/>
              <w:jc w:val="center"/>
              <w:rPr>
                <w:rFonts w:hint="eastAsia" w:ascii="仿宋" w:hAnsi="仿宋" w:eastAsia="仿宋" w:cs="仿宋"/>
                <w:sz w:val="28"/>
                <w:szCs w:val="28"/>
              </w:rPr>
            </w:pPr>
            <w:r>
              <w:rPr>
                <w:rFonts w:hint="eastAsia" w:ascii="仿宋" w:hAnsi="仿宋" w:eastAsia="仿宋" w:cs="仿宋"/>
                <w:color w:val="333333"/>
                <w:sz w:val="28"/>
                <w:szCs w:val="28"/>
              </w:rPr>
              <w:t>所属行政区</w:t>
            </w:r>
          </w:p>
        </w:tc>
        <w:tc>
          <w:tcPr>
            <w:tcW w:w="2299"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企业开户行联行号</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ind w:left="-105" w:right="-105"/>
              <w:jc w:val="center"/>
              <w:rPr>
                <w:rFonts w:hint="eastAsia" w:ascii="仿宋" w:hAnsi="仿宋" w:eastAsia="仿宋" w:cs="仿宋"/>
                <w:sz w:val="28"/>
                <w:szCs w:val="28"/>
              </w:rPr>
            </w:pPr>
            <w:r>
              <w:rPr>
                <w:rFonts w:hint="eastAsia" w:ascii="仿宋" w:hAnsi="仿宋" w:eastAsia="仿宋" w:cs="仿宋"/>
                <w:color w:val="333333"/>
                <w:sz w:val="28"/>
                <w:szCs w:val="28"/>
              </w:rPr>
              <w:t>企业银行帐号</w:t>
            </w:r>
          </w:p>
        </w:tc>
        <w:tc>
          <w:tcPr>
            <w:tcW w:w="2299"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939"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所属行业</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员工人数</w:t>
            </w:r>
          </w:p>
        </w:tc>
        <w:tc>
          <w:tcPr>
            <w:tcW w:w="2299"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585"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该类企业入库标准</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入库时间</w:t>
            </w:r>
          </w:p>
        </w:tc>
        <w:tc>
          <w:tcPr>
            <w:tcW w:w="2299"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828"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申报联系人</w:t>
            </w:r>
          </w:p>
        </w:tc>
        <w:tc>
          <w:tcPr>
            <w:tcW w:w="2175"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申报人</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联系方式</w:t>
            </w:r>
          </w:p>
        </w:tc>
        <w:tc>
          <w:tcPr>
            <w:tcW w:w="2299"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90" w:hRule="atLeast"/>
          <w:tblCellSpacing w:w="0" w:type="dxa"/>
          <w:jc w:val="center"/>
        </w:trPr>
        <w:tc>
          <w:tcPr>
            <w:tcW w:w="2529" w:type="dxa"/>
            <w:vMerge w:val="restart"/>
            <w:tcBorders>
              <w:top w:val="nil"/>
              <w:left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lang w:val="en-US" w:eastAsia="zh-CN"/>
              </w:rPr>
            </w:pPr>
            <w:r>
              <w:rPr>
                <w:rFonts w:hint="eastAsia" w:ascii="仿宋" w:hAnsi="仿宋" w:eastAsia="仿宋" w:cs="仿宋"/>
                <w:color w:val="333333"/>
                <w:sz w:val="28"/>
                <w:szCs w:val="28"/>
              </w:rPr>
              <w:t>企业</w:t>
            </w:r>
            <w:r>
              <w:rPr>
                <w:rFonts w:hint="eastAsia" w:ascii="仿宋" w:hAnsi="仿宋" w:eastAsia="仿宋" w:cs="仿宋"/>
                <w:color w:val="333333"/>
                <w:sz w:val="28"/>
                <w:szCs w:val="28"/>
                <w:lang w:val="en-US" w:eastAsia="zh-CN"/>
              </w:rPr>
              <w:t>2024年</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经营情况</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（单位：万元）</w:t>
            </w:r>
          </w:p>
        </w:tc>
        <w:tc>
          <w:tcPr>
            <w:tcW w:w="103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r>
              <w:rPr>
                <w:rFonts w:hint="eastAsia" w:ascii="仿宋" w:hAnsi="仿宋" w:eastAsia="仿宋" w:cs="仿宋"/>
                <w:color w:val="333333"/>
                <w:sz w:val="28"/>
                <w:szCs w:val="28"/>
              </w:rPr>
              <w:t>营业</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收入</w:t>
            </w:r>
          </w:p>
        </w:tc>
        <w:tc>
          <w:tcPr>
            <w:tcW w:w="113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both"/>
              <w:rPr>
                <w:rFonts w:hint="eastAsia" w:ascii="仿宋" w:hAnsi="仿宋" w:eastAsia="仿宋" w:cs="仿宋"/>
                <w:sz w:val="28"/>
                <w:szCs w:val="28"/>
              </w:rPr>
            </w:pPr>
            <w:r>
              <w:rPr>
                <w:rFonts w:hint="eastAsia" w:ascii="仿宋" w:hAnsi="仿宋" w:eastAsia="仿宋" w:cs="仿宋"/>
                <w:color w:val="333333"/>
                <w:sz w:val="28"/>
                <w:szCs w:val="28"/>
                <w:lang w:eastAsia="zh-CN"/>
              </w:rPr>
              <w:t>增</w:t>
            </w:r>
            <w:r>
              <w:rPr>
                <w:rFonts w:hint="eastAsia" w:ascii="仿宋" w:hAnsi="仿宋" w:eastAsia="仿宋" w:cs="仿宋"/>
                <w:color w:val="333333"/>
                <w:sz w:val="28"/>
                <w:szCs w:val="28"/>
              </w:rPr>
              <w:t>幅（%）</w:t>
            </w: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实缴税金</w:t>
            </w:r>
          </w:p>
        </w:tc>
        <w:tc>
          <w:tcPr>
            <w:tcW w:w="1027"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资产</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总计</w:t>
            </w:r>
          </w:p>
        </w:tc>
        <w:tc>
          <w:tcPr>
            <w:tcW w:w="1272"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有无违法经营记录</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807" w:hRule="atLeast"/>
          <w:tblCellSpacing w:w="0" w:type="dxa"/>
          <w:jc w:val="center"/>
        </w:trPr>
        <w:tc>
          <w:tcPr>
            <w:tcW w:w="2529" w:type="dxa"/>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p>
        </w:tc>
        <w:tc>
          <w:tcPr>
            <w:tcW w:w="103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p>
        </w:tc>
        <w:tc>
          <w:tcPr>
            <w:tcW w:w="113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both"/>
              <w:rPr>
                <w:rFonts w:hint="eastAsia" w:ascii="仿宋" w:hAnsi="仿宋" w:eastAsia="仿宋" w:cs="仿宋"/>
                <w:color w:val="333333"/>
                <w:sz w:val="28"/>
                <w:szCs w:val="28"/>
                <w:lang w:eastAsia="zh-CN"/>
              </w:rPr>
            </w:pPr>
          </w:p>
        </w:tc>
        <w:tc>
          <w:tcPr>
            <w:tcW w:w="1543"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p>
        </w:tc>
        <w:tc>
          <w:tcPr>
            <w:tcW w:w="1027"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p>
        </w:tc>
        <w:tc>
          <w:tcPr>
            <w:tcW w:w="1272"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1334"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企业近两年突出成绩</w:t>
            </w:r>
          </w:p>
        </w:tc>
        <w:tc>
          <w:tcPr>
            <w:tcW w:w="6017"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（业绩、技术革新、模式创新等）</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854"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default" w:ascii="仿宋" w:hAnsi="仿宋" w:eastAsia="仿宋" w:cs="仿宋"/>
                <w:color w:val="333333"/>
                <w:sz w:val="28"/>
                <w:szCs w:val="28"/>
                <w:lang w:val="en-US" w:eastAsia="zh-CN"/>
              </w:rPr>
            </w:pPr>
            <w:r>
              <w:rPr>
                <w:rFonts w:hint="eastAsia" w:ascii="仿宋" w:hAnsi="仿宋" w:eastAsia="仿宋" w:cs="仿宋"/>
                <w:color w:val="333333"/>
                <w:sz w:val="28"/>
                <w:szCs w:val="28"/>
                <w:lang w:val="en-US" w:eastAsia="zh-CN"/>
              </w:rPr>
              <w:t>申请奖补</w:t>
            </w:r>
            <w:bookmarkStart w:id="0" w:name="_GoBack"/>
            <w:bookmarkEnd w:id="0"/>
            <w:r>
              <w:rPr>
                <w:rFonts w:hint="eastAsia" w:ascii="仿宋" w:hAnsi="仿宋" w:eastAsia="仿宋" w:cs="仿宋"/>
                <w:color w:val="333333"/>
                <w:sz w:val="28"/>
                <w:szCs w:val="28"/>
                <w:lang w:val="en-US" w:eastAsia="zh-CN"/>
              </w:rPr>
              <w:t>金额</w:t>
            </w:r>
          </w:p>
        </w:tc>
        <w:tc>
          <w:tcPr>
            <w:tcW w:w="6017"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both"/>
              <w:rPr>
                <w:rFonts w:hint="eastAsia" w:ascii="仿宋" w:hAnsi="仿宋" w:eastAsia="仿宋" w:cs="仿宋"/>
                <w:color w:val="333333"/>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5277"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企业承诺</w:t>
            </w:r>
          </w:p>
        </w:tc>
        <w:tc>
          <w:tcPr>
            <w:tcW w:w="6017"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ind w:left="0" w:firstLine="555"/>
              <w:rPr>
                <w:rFonts w:hint="eastAsia" w:ascii="仿宋" w:hAnsi="仿宋" w:eastAsia="仿宋" w:cs="仿宋"/>
                <w:sz w:val="28"/>
                <w:szCs w:val="28"/>
              </w:rPr>
            </w:pPr>
            <w:r>
              <w:rPr>
                <w:rFonts w:hint="eastAsia" w:ascii="仿宋" w:hAnsi="仿宋" w:eastAsia="仿宋" w:cs="仿宋"/>
                <w:color w:val="333333"/>
                <w:sz w:val="28"/>
                <w:szCs w:val="28"/>
              </w:rPr>
              <w:t>本企业郑重承诺，在此次旅游企业首次入统奖补申请中，所提交的申请材料内容和所附资料均真实、合法、有效，复印件与原件一致。如有不实之处或提供任何虚假材料，愿承担一切后果，并负相关法律责任。</w:t>
            </w:r>
          </w:p>
          <w:p>
            <w:pPr>
              <w:pStyle w:val="2"/>
              <w:keepNext w:val="0"/>
              <w:keepLines w:val="0"/>
              <w:widowControl/>
              <w:suppressLineNumbers w:val="0"/>
              <w:spacing w:line="300" w:lineRule="atLeast"/>
              <w:ind w:left="0" w:firstLine="555"/>
              <w:jc w:val="center"/>
              <w:rPr>
                <w:rFonts w:hint="eastAsia" w:ascii="仿宋" w:hAnsi="仿宋" w:eastAsia="仿宋" w:cs="仿宋"/>
                <w:sz w:val="28"/>
                <w:szCs w:val="28"/>
              </w:rPr>
            </w:pPr>
            <w:r>
              <w:rPr>
                <w:rFonts w:hint="eastAsia" w:ascii="仿宋" w:hAnsi="仿宋" w:eastAsia="仿宋" w:cs="仿宋"/>
                <w:color w:val="333333"/>
                <w:sz w:val="28"/>
                <w:szCs w:val="28"/>
              </w:rPr>
              <w:t>企业法人签字：</w:t>
            </w:r>
          </w:p>
          <w:p>
            <w:pPr>
              <w:pStyle w:val="2"/>
              <w:keepNext w:val="0"/>
              <w:keepLines w:val="0"/>
              <w:widowControl/>
              <w:suppressLineNumbers w:val="0"/>
              <w:spacing w:line="300" w:lineRule="atLeast"/>
              <w:ind w:left="0" w:firstLine="3360"/>
              <w:jc w:val="both"/>
              <w:rPr>
                <w:rFonts w:hint="eastAsia" w:ascii="仿宋" w:hAnsi="仿宋" w:eastAsia="仿宋" w:cs="仿宋"/>
                <w:sz w:val="28"/>
                <w:szCs w:val="28"/>
              </w:rPr>
            </w:pPr>
            <w:r>
              <w:rPr>
                <w:rFonts w:hint="eastAsia" w:ascii="仿宋" w:hAnsi="仿宋" w:eastAsia="仿宋" w:cs="仿宋"/>
                <w:color w:val="333333"/>
                <w:sz w:val="28"/>
                <w:szCs w:val="28"/>
              </w:rPr>
              <w:t>企业盖章</w:t>
            </w:r>
          </w:p>
          <w:p>
            <w:pPr>
              <w:pStyle w:val="2"/>
              <w:keepNext w:val="0"/>
              <w:keepLines w:val="0"/>
              <w:widowControl/>
              <w:suppressLineNumbers w:val="0"/>
              <w:spacing w:line="300" w:lineRule="atLeast"/>
              <w:ind w:left="0" w:firstLine="555"/>
              <w:jc w:val="center"/>
              <w:rPr>
                <w:rFonts w:hint="eastAsia" w:ascii="仿宋" w:hAnsi="仿宋" w:eastAsia="仿宋" w:cs="仿宋"/>
                <w:sz w:val="28"/>
                <w:szCs w:val="28"/>
              </w:rPr>
            </w:pPr>
            <w:r>
              <w:rPr>
                <w:rFonts w:hint="eastAsia" w:ascii="仿宋" w:hAnsi="仿宋" w:eastAsia="仿宋" w:cs="仿宋"/>
                <w:color w:val="333333"/>
                <w:sz w:val="28"/>
                <w:szCs w:val="28"/>
              </w:rPr>
              <w:t>年月 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1995" w:hRule="atLeast"/>
          <w:tblCellSpacing w:w="0" w:type="dxa"/>
          <w:jc w:val="center"/>
        </w:trPr>
        <w:tc>
          <w:tcPr>
            <w:tcW w:w="2529"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lang w:eastAsia="zh-CN"/>
              </w:rPr>
              <w:t>县文旅部门</w:t>
            </w:r>
            <w:r>
              <w:rPr>
                <w:rFonts w:hint="eastAsia" w:ascii="仿宋" w:hAnsi="仿宋" w:eastAsia="仿宋" w:cs="仿宋"/>
                <w:color w:val="333333"/>
                <w:sz w:val="28"/>
                <w:szCs w:val="28"/>
              </w:rPr>
              <w:t>意见</w:t>
            </w:r>
          </w:p>
        </w:tc>
        <w:tc>
          <w:tcPr>
            <w:tcW w:w="6017"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签字(盖章)</w:t>
            </w:r>
          </w:p>
          <w:p>
            <w:pPr>
              <w:pStyle w:val="2"/>
              <w:keepNext w:val="0"/>
              <w:keepLines w:val="0"/>
              <w:widowControl/>
              <w:suppressLineNumbers w:val="0"/>
              <w:spacing w:line="300" w:lineRule="atLeast"/>
              <w:jc w:val="center"/>
              <w:rPr>
                <w:rFonts w:hint="eastAsia" w:ascii="仿宋" w:hAnsi="仿宋" w:eastAsia="仿宋" w:cs="仿宋"/>
                <w:sz w:val="28"/>
                <w:szCs w:val="28"/>
              </w:rPr>
            </w:pPr>
            <w:r>
              <w:rPr>
                <w:rFonts w:hint="eastAsia" w:ascii="仿宋" w:hAnsi="仿宋" w:eastAsia="仿宋" w:cs="仿宋"/>
                <w:color w:val="333333"/>
                <w:sz w:val="28"/>
                <w:szCs w:val="28"/>
              </w:rPr>
              <w:t>年月日</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line="560" w:lineRule="exact"/>
        <w:jc w:val="both"/>
        <w:textAlignment w:val="auto"/>
        <w:rPr>
          <w:rFonts w:hint="eastAsia" w:ascii="仿宋" w:hAnsi="仿宋" w:eastAsia="仿宋" w:cs="仿宋"/>
          <w:sz w:val="32"/>
          <w:szCs w:val="32"/>
        </w:rPr>
      </w:pPr>
      <w:r>
        <w:rPr>
          <w:rFonts w:hint="eastAsia" w:ascii="仿宋" w:hAnsi="仿宋" w:eastAsia="仿宋" w:cs="仿宋"/>
          <w:color w:val="333333"/>
          <w:sz w:val="32"/>
          <w:szCs w:val="32"/>
        </w:rPr>
        <w:t>附注：1.本申请表一式</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份，</w:t>
      </w:r>
      <w:r>
        <w:rPr>
          <w:rFonts w:hint="eastAsia" w:ascii="仿宋" w:hAnsi="仿宋" w:eastAsia="仿宋" w:cs="仿宋"/>
          <w:color w:val="333333"/>
          <w:sz w:val="32"/>
          <w:szCs w:val="32"/>
          <w:lang w:eastAsia="zh-CN"/>
        </w:rPr>
        <w:t>县文旅部门、统计部门、文旅企业各</w:t>
      </w:r>
      <w:r>
        <w:rPr>
          <w:rFonts w:hint="eastAsia" w:ascii="仿宋" w:hAnsi="仿宋" w:eastAsia="仿宋" w:cs="仿宋"/>
          <w:color w:val="333333"/>
          <w:sz w:val="32"/>
          <w:szCs w:val="32"/>
          <w:lang w:val="en-US" w:eastAsia="zh-CN"/>
        </w:rPr>
        <w:t>1份</w:t>
      </w:r>
      <w:r>
        <w:rPr>
          <w:rFonts w:hint="eastAsia" w:ascii="仿宋" w:hAnsi="仿宋" w:eastAsia="仿宋" w:cs="仿宋"/>
          <w:color w:val="333333"/>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line="560" w:lineRule="exact"/>
        <w:ind w:firstLine="960" w:firstLineChars="300"/>
        <w:jc w:val="both"/>
        <w:textAlignment w:val="auto"/>
        <w:rPr>
          <w:rFonts w:hint="eastAsia" w:ascii="仿宋" w:hAnsi="仿宋" w:eastAsia="仿宋" w:cs="仿宋"/>
          <w:sz w:val="32"/>
          <w:szCs w:val="32"/>
        </w:rPr>
      </w:pPr>
      <w:r>
        <w:rPr>
          <w:rFonts w:hint="eastAsia" w:ascii="仿宋" w:hAnsi="仿宋" w:eastAsia="仿宋" w:cs="仿宋"/>
          <w:color w:val="333333"/>
          <w:sz w:val="32"/>
          <w:szCs w:val="32"/>
        </w:rPr>
        <w:t>2.企业申报需附送企业营业执照、法人身份证复印件、企业入库时间证明、企业纳税证明等相关材料。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line="560" w:lineRule="exact"/>
        <w:ind w:firstLine="960" w:firstLineChars="300"/>
        <w:jc w:val="both"/>
        <w:textAlignment w:val="auto"/>
        <w:rPr>
          <w:rFonts w:hint="eastAsia" w:ascii="仿宋" w:hAnsi="仿宋" w:eastAsia="仿宋" w:cs="仿宋"/>
          <w:b/>
          <w:bCs/>
          <w:sz w:val="32"/>
          <w:szCs w:val="32"/>
          <w:lang w:eastAsia="zh-CN"/>
        </w:rPr>
      </w:pPr>
      <w:r>
        <w:rPr>
          <w:rFonts w:hint="eastAsia" w:ascii="仿宋" w:hAnsi="仿宋" w:eastAsia="仿宋" w:cs="仿宋"/>
          <w:color w:val="333333"/>
          <w:sz w:val="32"/>
          <w:szCs w:val="32"/>
        </w:rPr>
        <w:t>3.企业申报表需加盖企业公章，</w:t>
      </w:r>
      <w:r>
        <w:rPr>
          <w:rFonts w:hint="eastAsia" w:ascii="仿宋" w:hAnsi="仿宋" w:eastAsia="仿宋" w:cs="仿宋"/>
          <w:color w:val="333333"/>
          <w:sz w:val="32"/>
          <w:szCs w:val="32"/>
          <w:lang w:eastAsia="zh-CN"/>
        </w:rPr>
        <w:t>县文旅部门、统计部门</w:t>
      </w:r>
      <w:r>
        <w:rPr>
          <w:rFonts w:hint="eastAsia" w:ascii="仿宋" w:hAnsi="仿宋" w:eastAsia="仿宋" w:cs="仿宋"/>
          <w:color w:val="333333"/>
          <w:sz w:val="32"/>
          <w:szCs w:val="32"/>
        </w:rPr>
        <w:t>审核意见需签字盖章。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zMWQzODdiNGU5OGU4NDg1NTJlMjg3MTg4ZTQ5N2UifQ=="/>
  </w:docVars>
  <w:rsids>
    <w:rsidRoot w:val="72341CF0"/>
    <w:rsid w:val="00914E2B"/>
    <w:rsid w:val="018E0263"/>
    <w:rsid w:val="019127B6"/>
    <w:rsid w:val="029702A0"/>
    <w:rsid w:val="03D62A61"/>
    <w:rsid w:val="043C16EC"/>
    <w:rsid w:val="043F0BEF"/>
    <w:rsid w:val="04690C83"/>
    <w:rsid w:val="053578FC"/>
    <w:rsid w:val="05AA02EA"/>
    <w:rsid w:val="06896151"/>
    <w:rsid w:val="069074E0"/>
    <w:rsid w:val="072145DC"/>
    <w:rsid w:val="078D7EC3"/>
    <w:rsid w:val="08215F45"/>
    <w:rsid w:val="08470072"/>
    <w:rsid w:val="08536A17"/>
    <w:rsid w:val="091361A6"/>
    <w:rsid w:val="09C40602"/>
    <w:rsid w:val="09C6146A"/>
    <w:rsid w:val="0A195A3E"/>
    <w:rsid w:val="0A457AB3"/>
    <w:rsid w:val="0AD100C7"/>
    <w:rsid w:val="0BC65752"/>
    <w:rsid w:val="0BFC1173"/>
    <w:rsid w:val="0C2F32F7"/>
    <w:rsid w:val="0D2070E4"/>
    <w:rsid w:val="0E6F3E7F"/>
    <w:rsid w:val="0E733DAA"/>
    <w:rsid w:val="0F3A448D"/>
    <w:rsid w:val="10305890"/>
    <w:rsid w:val="11034D52"/>
    <w:rsid w:val="11124190"/>
    <w:rsid w:val="14691370"/>
    <w:rsid w:val="14F86492"/>
    <w:rsid w:val="158462AC"/>
    <w:rsid w:val="15CA279E"/>
    <w:rsid w:val="19B66E06"/>
    <w:rsid w:val="1A6C3968"/>
    <w:rsid w:val="1B0D6EF9"/>
    <w:rsid w:val="1BFB6320"/>
    <w:rsid w:val="1C8F6CBD"/>
    <w:rsid w:val="1D2624F4"/>
    <w:rsid w:val="1DA82F09"/>
    <w:rsid w:val="1E48649A"/>
    <w:rsid w:val="1EC91910"/>
    <w:rsid w:val="1F3621EB"/>
    <w:rsid w:val="20B00A53"/>
    <w:rsid w:val="241C01AD"/>
    <w:rsid w:val="24B44889"/>
    <w:rsid w:val="24D3065E"/>
    <w:rsid w:val="25831C8D"/>
    <w:rsid w:val="26993D37"/>
    <w:rsid w:val="26DE174A"/>
    <w:rsid w:val="289320B5"/>
    <w:rsid w:val="294206B6"/>
    <w:rsid w:val="29567CBD"/>
    <w:rsid w:val="29CC7F7F"/>
    <w:rsid w:val="2A6F54DA"/>
    <w:rsid w:val="2B083239"/>
    <w:rsid w:val="2C3562B0"/>
    <w:rsid w:val="2C923D64"/>
    <w:rsid w:val="2CEB4BC0"/>
    <w:rsid w:val="2D572256"/>
    <w:rsid w:val="2D7921CC"/>
    <w:rsid w:val="2DE11C36"/>
    <w:rsid w:val="2DEC0BF0"/>
    <w:rsid w:val="2F3B3145"/>
    <w:rsid w:val="2FFF10AF"/>
    <w:rsid w:val="31794E91"/>
    <w:rsid w:val="317E24A7"/>
    <w:rsid w:val="31FE0782"/>
    <w:rsid w:val="32A945DA"/>
    <w:rsid w:val="33105381"/>
    <w:rsid w:val="34064BA1"/>
    <w:rsid w:val="340A1DD0"/>
    <w:rsid w:val="343E1A7A"/>
    <w:rsid w:val="34EB5A9A"/>
    <w:rsid w:val="356279EA"/>
    <w:rsid w:val="3586405B"/>
    <w:rsid w:val="36C91805"/>
    <w:rsid w:val="372E04CB"/>
    <w:rsid w:val="39025C9D"/>
    <w:rsid w:val="395064D7"/>
    <w:rsid w:val="39567866"/>
    <w:rsid w:val="3A190FBF"/>
    <w:rsid w:val="3A43603C"/>
    <w:rsid w:val="3B4756B8"/>
    <w:rsid w:val="3B982626"/>
    <w:rsid w:val="3BAC19BF"/>
    <w:rsid w:val="3BBC3F41"/>
    <w:rsid w:val="3C011D0B"/>
    <w:rsid w:val="3CD4741F"/>
    <w:rsid w:val="3EEE25AF"/>
    <w:rsid w:val="3F2106C0"/>
    <w:rsid w:val="3F7D7C0E"/>
    <w:rsid w:val="3FAE501E"/>
    <w:rsid w:val="401146D6"/>
    <w:rsid w:val="40BC26A4"/>
    <w:rsid w:val="41436921"/>
    <w:rsid w:val="41656898"/>
    <w:rsid w:val="4191768D"/>
    <w:rsid w:val="4286740D"/>
    <w:rsid w:val="42A30412"/>
    <w:rsid w:val="42C43A92"/>
    <w:rsid w:val="42EA799C"/>
    <w:rsid w:val="42FC322C"/>
    <w:rsid w:val="439E624C"/>
    <w:rsid w:val="43F4312D"/>
    <w:rsid w:val="44316F05"/>
    <w:rsid w:val="44764BDD"/>
    <w:rsid w:val="465007C2"/>
    <w:rsid w:val="47E064B4"/>
    <w:rsid w:val="482F19AD"/>
    <w:rsid w:val="483B2A48"/>
    <w:rsid w:val="48C830B2"/>
    <w:rsid w:val="48F919B1"/>
    <w:rsid w:val="493E0FC7"/>
    <w:rsid w:val="4989333F"/>
    <w:rsid w:val="49C533F1"/>
    <w:rsid w:val="4A115474"/>
    <w:rsid w:val="4A45370A"/>
    <w:rsid w:val="4AA242FD"/>
    <w:rsid w:val="4B335C59"/>
    <w:rsid w:val="4BE13907"/>
    <w:rsid w:val="4C8D3147"/>
    <w:rsid w:val="4C8F2A30"/>
    <w:rsid w:val="4D221AE1"/>
    <w:rsid w:val="4D9C4077"/>
    <w:rsid w:val="4DB12E65"/>
    <w:rsid w:val="4E52289A"/>
    <w:rsid w:val="4EBE1245"/>
    <w:rsid w:val="4F42404D"/>
    <w:rsid w:val="4F702FD7"/>
    <w:rsid w:val="4FFB405A"/>
    <w:rsid w:val="50493828"/>
    <w:rsid w:val="507F0204"/>
    <w:rsid w:val="51273B6A"/>
    <w:rsid w:val="51D748D0"/>
    <w:rsid w:val="525A4431"/>
    <w:rsid w:val="52C11D9C"/>
    <w:rsid w:val="53D26FFB"/>
    <w:rsid w:val="53DF24DA"/>
    <w:rsid w:val="540E1E5C"/>
    <w:rsid w:val="54C77062"/>
    <w:rsid w:val="54DC4C6B"/>
    <w:rsid w:val="55171945"/>
    <w:rsid w:val="559D264C"/>
    <w:rsid w:val="56234C7E"/>
    <w:rsid w:val="5637484F"/>
    <w:rsid w:val="57812D23"/>
    <w:rsid w:val="57BE68AA"/>
    <w:rsid w:val="583F79EB"/>
    <w:rsid w:val="58B1103F"/>
    <w:rsid w:val="592D018B"/>
    <w:rsid w:val="59FA62BF"/>
    <w:rsid w:val="5ACB7C5C"/>
    <w:rsid w:val="5B70435F"/>
    <w:rsid w:val="5BA92B95"/>
    <w:rsid w:val="5C7D12AE"/>
    <w:rsid w:val="5D025683"/>
    <w:rsid w:val="5D731EE5"/>
    <w:rsid w:val="5F213839"/>
    <w:rsid w:val="60EE6452"/>
    <w:rsid w:val="60F36BD1"/>
    <w:rsid w:val="613C71BD"/>
    <w:rsid w:val="6152145A"/>
    <w:rsid w:val="61A134C4"/>
    <w:rsid w:val="61B03707"/>
    <w:rsid w:val="61F462CD"/>
    <w:rsid w:val="62DD4049"/>
    <w:rsid w:val="630604CC"/>
    <w:rsid w:val="63352116"/>
    <w:rsid w:val="6401024A"/>
    <w:rsid w:val="644820C3"/>
    <w:rsid w:val="64B070DE"/>
    <w:rsid w:val="65091AAC"/>
    <w:rsid w:val="658244D5"/>
    <w:rsid w:val="672E75A8"/>
    <w:rsid w:val="690956F9"/>
    <w:rsid w:val="69BE6810"/>
    <w:rsid w:val="6AE306AA"/>
    <w:rsid w:val="6B5C1009"/>
    <w:rsid w:val="6B6D4417"/>
    <w:rsid w:val="6BBB33D4"/>
    <w:rsid w:val="6BCD48D1"/>
    <w:rsid w:val="6C5B6EDA"/>
    <w:rsid w:val="6CE8644B"/>
    <w:rsid w:val="717E112C"/>
    <w:rsid w:val="721970A7"/>
    <w:rsid w:val="72341CF0"/>
    <w:rsid w:val="72824C4C"/>
    <w:rsid w:val="7298621E"/>
    <w:rsid w:val="72C0713A"/>
    <w:rsid w:val="744A79EB"/>
    <w:rsid w:val="74A0760B"/>
    <w:rsid w:val="756D1BE3"/>
    <w:rsid w:val="76676633"/>
    <w:rsid w:val="7700708A"/>
    <w:rsid w:val="77071BC4"/>
    <w:rsid w:val="7751155C"/>
    <w:rsid w:val="782C7B34"/>
    <w:rsid w:val="788039DC"/>
    <w:rsid w:val="788D434B"/>
    <w:rsid w:val="78A5393C"/>
    <w:rsid w:val="795307AE"/>
    <w:rsid w:val="7B191C40"/>
    <w:rsid w:val="7BDB0514"/>
    <w:rsid w:val="7CEA3B1A"/>
    <w:rsid w:val="7CFE1373"/>
    <w:rsid w:val="7D052701"/>
    <w:rsid w:val="7D4A0A5C"/>
    <w:rsid w:val="7D676F18"/>
    <w:rsid w:val="7EF24F07"/>
    <w:rsid w:val="7F152CB9"/>
    <w:rsid w:val="7F6E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autoRedefine/>
    <w:qFormat/>
    <w:uiPriority w:val="0"/>
    <w:rPr>
      <w:b/>
      <w:bCs/>
    </w:rPr>
  </w:style>
  <w:style w:type="character" w:styleId="6">
    <w:name w:val="FollowedHyperlink"/>
    <w:basedOn w:val="4"/>
    <w:autoRedefine/>
    <w:qFormat/>
    <w:uiPriority w:val="0"/>
    <w:rPr>
      <w:color w:val="333333"/>
      <w:u w:val="single"/>
    </w:rPr>
  </w:style>
  <w:style w:type="character" w:styleId="7">
    <w:name w:val="Emphasis"/>
    <w:basedOn w:val="4"/>
    <w:autoRedefine/>
    <w:qFormat/>
    <w:uiPriority w:val="0"/>
  </w:style>
  <w:style w:type="character" w:styleId="8">
    <w:name w:val="HTML Definition"/>
    <w:basedOn w:val="4"/>
    <w:autoRedefine/>
    <w:qFormat/>
    <w:uiPriority w:val="0"/>
  </w:style>
  <w:style w:type="character" w:styleId="9">
    <w:name w:val="HTML Typewriter"/>
    <w:basedOn w:val="4"/>
    <w:autoRedefine/>
    <w:qFormat/>
    <w:uiPriority w:val="0"/>
    <w:rPr>
      <w:rFonts w:hint="default" w:ascii="monospace" w:hAnsi="monospace" w:eastAsia="monospace" w:cs="monospace"/>
      <w:sz w:val="20"/>
    </w:rPr>
  </w:style>
  <w:style w:type="character" w:styleId="10">
    <w:name w:val="HTML Acronym"/>
    <w:basedOn w:val="4"/>
    <w:autoRedefine/>
    <w:qFormat/>
    <w:uiPriority w:val="0"/>
  </w:style>
  <w:style w:type="character" w:styleId="11">
    <w:name w:val="HTML Variable"/>
    <w:basedOn w:val="4"/>
    <w:autoRedefine/>
    <w:qFormat/>
    <w:uiPriority w:val="0"/>
  </w:style>
  <w:style w:type="character" w:styleId="12">
    <w:name w:val="Hyperlink"/>
    <w:basedOn w:val="4"/>
    <w:autoRedefine/>
    <w:qFormat/>
    <w:uiPriority w:val="0"/>
    <w:rPr>
      <w:color w:val="333333"/>
      <w:u w:val="single"/>
    </w:rPr>
  </w:style>
  <w:style w:type="character" w:styleId="13">
    <w:name w:val="HTML Code"/>
    <w:basedOn w:val="4"/>
    <w:autoRedefine/>
    <w:qFormat/>
    <w:uiPriority w:val="0"/>
    <w:rPr>
      <w:rFonts w:ascii="monospace" w:hAnsi="monospace" w:eastAsia="monospace" w:cs="monospace"/>
      <w:sz w:val="20"/>
    </w:rPr>
  </w:style>
  <w:style w:type="character" w:styleId="14">
    <w:name w:val="HTML Cite"/>
    <w:basedOn w:val="4"/>
    <w:autoRedefine/>
    <w:qFormat/>
    <w:uiPriority w:val="0"/>
  </w:style>
  <w:style w:type="character" w:styleId="15">
    <w:name w:val="HTML Keyboard"/>
    <w:basedOn w:val="4"/>
    <w:autoRedefine/>
    <w:qFormat/>
    <w:uiPriority w:val="0"/>
    <w:rPr>
      <w:rFonts w:hint="default" w:ascii="monospace" w:hAnsi="monospace" w:eastAsia="monospace" w:cs="monospace"/>
      <w:sz w:val="20"/>
    </w:rPr>
  </w:style>
  <w:style w:type="character" w:styleId="16">
    <w:name w:val="HTML Sample"/>
    <w:basedOn w:val="4"/>
    <w:autoRedefine/>
    <w:qFormat/>
    <w:uiPriority w:val="0"/>
    <w:rPr>
      <w:rFonts w:hint="default" w:ascii="monospace" w:hAnsi="monospace" w:eastAsia="monospace" w:cs="monospace"/>
    </w:rPr>
  </w:style>
  <w:style w:type="character" w:customStyle="1" w:styleId="17">
    <w:name w:val="zh"/>
    <w:basedOn w:val="4"/>
    <w:autoRedefine/>
    <w:qFormat/>
    <w:uiPriority w:val="0"/>
  </w:style>
  <w:style w:type="character" w:customStyle="1" w:styleId="18">
    <w:name w:val="bsharetext"/>
    <w:basedOn w:val="4"/>
    <w:autoRedefine/>
    <w:qFormat/>
    <w:uiPriority w:val="0"/>
  </w:style>
  <w:style w:type="character" w:customStyle="1" w:styleId="19">
    <w:name w:val="layui-layer-tabnow"/>
    <w:basedOn w:val="4"/>
    <w:autoRedefine/>
    <w:qFormat/>
    <w:uiPriority w:val="0"/>
    <w:rPr>
      <w:bdr w:val="single" w:color="CCCCCC" w:sz="6" w:space="0"/>
      <w:shd w:val="clear" w:fill="FFFFFF"/>
    </w:rPr>
  </w:style>
  <w:style w:type="character" w:customStyle="1" w:styleId="20">
    <w:name w:val="canclick"/>
    <w:basedOn w:val="4"/>
    <w:autoRedefine/>
    <w:qFormat/>
    <w:uiPriority w:val="0"/>
    <w:rPr>
      <w:color w:val="666666"/>
    </w:rPr>
  </w:style>
  <w:style w:type="character" w:customStyle="1" w:styleId="21">
    <w:name w:val="first-child"/>
    <w:basedOn w:val="4"/>
    <w:autoRedefine/>
    <w:qFormat/>
    <w:uiPriority w:val="0"/>
  </w:style>
  <w:style w:type="paragraph" w:customStyle="1" w:styleId="22">
    <w:name w:val="prevpage"/>
    <w:basedOn w:val="1"/>
    <w:autoRedefine/>
    <w:qFormat/>
    <w:uiPriority w:val="0"/>
    <w:pPr>
      <w:spacing w:line="375" w:lineRule="atLeast"/>
      <w:jc w:val="left"/>
    </w:pPr>
    <w:rPr>
      <w:kern w:val="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1338</Words>
  <Characters>1361</Characters>
  <Lines>0</Lines>
  <Paragraphs>0</Paragraphs>
  <TotalTime>5</TotalTime>
  <ScaleCrop>false</ScaleCrop>
  <LinksUpToDate>false</LinksUpToDate>
  <CharactersWithSpaces>1363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2024-05-21T08:51:00Z</dcterms:created>
  <dc:creator>Administrator</dc:creator>
  <cp:lastModifiedBy>Administrator</cp:lastModifiedBy>
  <dcterms:modified xsi:type="dcterms:W3CDTF">2024-05-27T00:42:23Z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EFAE046394EF4AFFA593F6C47AEABC08_13</vt:lpwstr>
  </property>
</Properties>
</file>