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B7F9F">
      <w:pPr>
        <w:tabs>
          <w:tab w:val="left" w:pos="5760"/>
        </w:tabs>
        <w:spacing w:line="460" w:lineRule="exact"/>
        <w:rPr>
          <w:b/>
          <w:color w:val="auto"/>
          <w:sz w:val="32"/>
          <w:szCs w:val="32"/>
        </w:rPr>
      </w:pPr>
    </w:p>
    <w:p w14:paraId="5CAB7BFA">
      <w:pPr>
        <w:pStyle w:val="11"/>
        <w:rPr>
          <w:color w:val="auto"/>
        </w:rPr>
      </w:pPr>
    </w:p>
    <w:p w14:paraId="459D8649">
      <w:pPr>
        <w:pStyle w:val="2"/>
        <w:spacing w:line="460" w:lineRule="exact"/>
        <w:rPr>
          <w:rFonts w:hint="default"/>
          <w:color w:val="auto"/>
        </w:rPr>
      </w:pPr>
    </w:p>
    <w:p w14:paraId="467F60BB">
      <w:pPr>
        <w:spacing w:line="460" w:lineRule="exact"/>
        <w:jc w:val="center"/>
        <w:rPr>
          <w:b/>
          <w:color w:val="auto"/>
          <w:sz w:val="32"/>
          <w:szCs w:val="32"/>
        </w:rPr>
      </w:pPr>
    </w:p>
    <w:p w14:paraId="3027FA07">
      <w:pPr>
        <w:spacing w:line="460" w:lineRule="exact"/>
        <w:rPr>
          <w:b/>
          <w:color w:val="auto"/>
          <w:sz w:val="32"/>
          <w:szCs w:val="32"/>
        </w:rPr>
      </w:pPr>
    </w:p>
    <w:p w14:paraId="20BEEE2E">
      <w:pPr>
        <w:spacing w:line="460" w:lineRule="exact"/>
        <w:rPr>
          <w:b/>
          <w:color w:val="auto"/>
          <w:sz w:val="32"/>
          <w:szCs w:val="32"/>
        </w:rPr>
      </w:pPr>
    </w:p>
    <w:p w14:paraId="24026802">
      <w:pPr>
        <w:spacing w:line="460" w:lineRule="exact"/>
        <w:jc w:val="center"/>
        <w:rPr>
          <w:rFonts w:eastAsia="仿宋_GB2312"/>
          <w:b/>
          <w:color w:val="auto"/>
          <w:sz w:val="32"/>
          <w:szCs w:val="32"/>
        </w:rPr>
      </w:pPr>
    </w:p>
    <w:p w14:paraId="7733B42D">
      <w:pPr>
        <w:pStyle w:val="7"/>
        <w:spacing w:line="460" w:lineRule="exact"/>
        <w:ind w:left="0"/>
        <w:rPr>
          <w:rFonts w:eastAsiaTheme="minorEastAsia"/>
          <w:color w:val="auto"/>
          <w:szCs w:val="32"/>
        </w:rPr>
      </w:pPr>
    </w:p>
    <w:p w14:paraId="0EE8135E">
      <w:pPr>
        <w:spacing w:line="460" w:lineRule="exact"/>
        <w:rPr>
          <w:color w:val="auto"/>
          <w:sz w:val="32"/>
          <w:szCs w:val="32"/>
        </w:rPr>
      </w:pPr>
    </w:p>
    <w:p w14:paraId="2D2EE238">
      <w:pPr>
        <w:spacing w:line="460" w:lineRule="exact"/>
        <w:jc w:val="center"/>
        <w:rPr>
          <w:rFonts w:eastAsia="仿宋_GB2312"/>
          <w:color w:val="auto"/>
          <w:sz w:val="32"/>
          <w:szCs w:val="32"/>
        </w:rPr>
      </w:pPr>
      <w:r>
        <w:rPr>
          <w:rFonts w:eastAsia="仿宋_GB2312"/>
          <w:color w:val="auto"/>
          <w:sz w:val="32"/>
          <w:szCs w:val="32"/>
        </w:rPr>
        <w:t>滑环审〔202</w:t>
      </w:r>
      <w:r>
        <w:rPr>
          <w:rFonts w:hint="eastAsia" w:eastAsia="仿宋_GB2312"/>
          <w:color w:val="auto"/>
          <w:sz w:val="32"/>
          <w:szCs w:val="32"/>
          <w:lang w:val="en-US" w:eastAsia="zh-CN"/>
        </w:rPr>
        <w:t>6</w:t>
      </w:r>
      <w:r>
        <w:rPr>
          <w:rFonts w:eastAsia="仿宋_GB2312"/>
          <w:color w:val="auto"/>
          <w:sz w:val="32"/>
          <w:szCs w:val="32"/>
        </w:rPr>
        <w:t>〕</w:t>
      </w:r>
      <w:r>
        <w:rPr>
          <w:rFonts w:hint="eastAsia" w:eastAsia="仿宋_GB2312"/>
          <w:color w:val="auto"/>
          <w:sz w:val="32"/>
          <w:szCs w:val="32"/>
          <w:highlight w:val="none"/>
          <w:lang w:val="en-US" w:eastAsia="zh-CN"/>
        </w:rPr>
        <w:t>26</w:t>
      </w:r>
      <w:r>
        <w:rPr>
          <w:rFonts w:eastAsia="仿宋_GB2312"/>
          <w:color w:val="auto"/>
          <w:sz w:val="32"/>
          <w:szCs w:val="32"/>
        </w:rPr>
        <w:t>号</w:t>
      </w:r>
    </w:p>
    <w:p w14:paraId="2214DCF3">
      <w:pPr>
        <w:spacing w:line="360" w:lineRule="exact"/>
        <w:rPr>
          <w:rFonts w:eastAsia="方正小标宋简体"/>
          <w:color w:val="auto"/>
          <w:sz w:val="32"/>
          <w:szCs w:val="32"/>
        </w:rPr>
      </w:pPr>
    </w:p>
    <w:p w14:paraId="7B5E96FB">
      <w:pPr>
        <w:spacing w:line="360" w:lineRule="exact"/>
        <w:jc w:val="center"/>
        <w:rPr>
          <w:rFonts w:eastAsia="方正小标宋简体"/>
          <w:color w:val="auto"/>
          <w:sz w:val="32"/>
          <w:szCs w:val="32"/>
        </w:rPr>
      </w:pPr>
    </w:p>
    <w:p w14:paraId="5159F7D0">
      <w:pPr>
        <w:spacing w:line="700" w:lineRule="exact"/>
        <w:jc w:val="center"/>
        <w:rPr>
          <w:rFonts w:eastAsia="方正小标宋简体"/>
          <w:color w:val="auto"/>
          <w:sz w:val="44"/>
          <w:szCs w:val="44"/>
        </w:rPr>
      </w:pPr>
      <w:bookmarkStart w:id="0" w:name="OLE_LINK7"/>
      <w:bookmarkStart w:id="1" w:name="OLE_LINK8"/>
      <w:bookmarkStart w:id="2" w:name="OLE_LINK11"/>
      <w:bookmarkStart w:id="3" w:name="OLE_LINK10"/>
      <w:r>
        <w:rPr>
          <w:rFonts w:hint="eastAsia" w:eastAsia="方正小标宋简体"/>
          <w:color w:val="auto"/>
          <w:sz w:val="44"/>
          <w:szCs w:val="44"/>
        </w:rPr>
        <w:t>安阳市生态环</w:t>
      </w:r>
      <w:r>
        <w:rPr>
          <w:rFonts w:hint="eastAsia" w:eastAsia="方正小标宋简体"/>
          <w:b w:val="0"/>
          <w:bCs w:val="0"/>
          <w:color w:val="auto"/>
          <w:sz w:val="44"/>
          <w:szCs w:val="44"/>
        </w:rPr>
        <w:t>境局</w:t>
      </w:r>
      <w:r>
        <w:rPr>
          <w:rFonts w:hint="eastAsia" w:eastAsia="方正小标宋简体"/>
          <w:color w:val="auto"/>
          <w:sz w:val="44"/>
          <w:szCs w:val="44"/>
        </w:rPr>
        <w:t>滑县分局</w:t>
      </w:r>
    </w:p>
    <w:p w14:paraId="75F6213E">
      <w:pPr>
        <w:spacing w:line="700" w:lineRule="exact"/>
        <w:jc w:val="center"/>
        <w:rPr>
          <w:rFonts w:hint="eastAsia" w:eastAsia="方正小标宋简体"/>
          <w:color w:val="auto"/>
          <w:sz w:val="44"/>
          <w:szCs w:val="44"/>
        </w:rPr>
      </w:pPr>
      <w:r>
        <w:rPr>
          <w:rFonts w:hint="eastAsia" w:eastAsia="方正小标宋简体"/>
          <w:color w:val="auto"/>
          <w:sz w:val="44"/>
          <w:szCs w:val="44"/>
        </w:rPr>
        <w:t>关于</w:t>
      </w:r>
      <w:r>
        <w:rPr>
          <w:rFonts w:hint="eastAsia" w:eastAsia="方正小标宋简体"/>
          <w:color w:val="auto"/>
          <w:sz w:val="44"/>
          <w:szCs w:val="44"/>
          <w:lang w:eastAsia="zh-CN"/>
        </w:rPr>
        <w:t>安阳瑞地新材料有限公司年</w:t>
      </w:r>
      <w:r>
        <w:rPr>
          <w:rFonts w:hint="default" w:eastAsia="方正小标宋简体"/>
          <w:color w:val="auto"/>
          <w:sz w:val="44"/>
          <w:szCs w:val="44"/>
          <w:lang w:eastAsia="zh-CN"/>
        </w:rPr>
        <w:t>产100吨</w:t>
      </w:r>
      <w:r>
        <w:rPr>
          <w:rFonts w:hint="eastAsia" w:eastAsia="方正小标宋简体"/>
          <w:color w:val="auto"/>
          <w:sz w:val="44"/>
          <w:szCs w:val="44"/>
          <w:lang w:eastAsia="zh-CN"/>
        </w:rPr>
        <w:t>海绵建设项目</w:t>
      </w:r>
      <w:r>
        <w:rPr>
          <w:rFonts w:hint="eastAsia" w:eastAsia="方正小标宋简体"/>
          <w:color w:val="auto"/>
          <w:sz w:val="44"/>
          <w:szCs w:val="44"/>
          <w:lang w:val="en-US" w:eastAsia="zh-CN"/>
        </w:rPr>
        <w:t>生态</w:t>
      </w:r>
      <w:r>
        <w:rPr>
          <w:rFonts w:hint="eastAsia" w:eastAsia="方正小标宋简体"/>
          <w:color w:val="auto"/>
          <w:sz w:val="44"/>
          <w:szCs w:val="44"/>
        </w:rPr>
        <w:t>环境影响报告表的批复</w:t>
      </w:r>
    </w:p>
    <w:bookmarkEnd w:id="0"/>
    <w:bookmarkEnd w:id="1"/>
    <w:p w14:paraId="637D8201">
      <w:pPr>
        <w:pStyle w:val="11"/>
        <w:spacing w:line="600" w:lineRule="exact"/>
        <w:rPr>
          <w:color w:val="auto"/>
        </w:rPr>
      </w:pPr>
    </w:p>
    <w:bookmarkEnd w:id="2"/>
    <w:bookmarkEnd w:id="3"/>
    <w:p w14:paraId="09705C43">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eastAsia="仿宋_GB2312"/>
          <w:color w:val="auto"/>
          <w:sz w:val="32"/>
          <w:szCs w:val="32"/>
        </w:rPr>
      </w:pPr>
      <w:r>
        <w:rPr>
          <w:rFonts w:hint="eastAsia" w:eastAsia="仿宋_GB2312"/>
          <w:color w:val="auto"/>
          <w:sz w:val="32"/>
          <w:szCs w:val="32"/>
          <w:lang w:eastAsia="zh-CN"/>
        </w:rPr>
        <w:t>安阳</w:t>
      </w:r>
      <w:r>
        <w:rPr>
          <w:rFonts w:hint="eastAsia" w:eastAsia="仿宋_GB2312"/>
          <w:color w:val="auto"/>
          <w:sz w:val="32"/>
          <w:szCs w:val="32"/>
          <w:lang w:val="en-US" w:eastAsia="zh-CN"/>
        </w:rPr>
        <w:t>瑞</w:t>
      </w:r>
      <w:r>
        <w:rPr>
          <w:rFonts w:hint="eastAsia" w:eastAsia="仿宋_GB2312"/>
          <w:color w:val="auto"/>
          <w:sz w:val="32"/>
          <w:szCs w:val="32"/>
          <w:lang w:eastAsia="zh-CN"/>
        </w:rPr>
        <w:t>地新材料有限公司</w:t>
      </w:r>
      <w:r>
        <w:rPr>
          <w:rFonts w:eastAsia="仿宋_GB2312"/>
          <w:color w:val="auto"/>
          <w:sz w:val="32"/>
          <w:szCs w:val="32"/>
        </w:rPr>
        <w:t>：</w:t>
      </w:r>
    </w:p>
    <w:p w14:paraId="58371B51">
      <w:pPr>
        <w:keepNext w:val="0"/>
        <w:keepLines w:val="0"/>
        <w:pageBreakBefore w:val="0"/>
        <w:widowControl w:val="0"/>
        <w:kinsoku/>
        <w:wordWrap/>
        <w:overflowPunct/>
        <w:topLinePunct w:val="0"/>
        <w:autoSpaceDE/>
        <w:autoSpaceDN/>
        <w:bidi w:val="0"/>
        <w:adjustRightInd/>
        <w:snapToGrid/>
        <w:spacing w:line="640" w:lineRule="exact"/>
        <w:jc w:val="left"/>
        <w:textAlignment w:val="auto"/>
        <w:rPr>
          <w:rFonts w:eastAsia="仿宋_GB2312"/>
          <w:color w:val="auto"/>
          <w:sz w:val="32"/>
          <w:szCs w:val="32"/>
        </w:rPr>
      </w:pPr>
      <w:r>
        <w:rPr>
          <w:rFonts w:hint="eastAsia" w:eastAsia="仿宋_GB2312"/>
          <w:color w:val="auto"/>
          <w:sz w:val="32"/>
          <w:szCs w:val="32"/>
        </w:rPr>
        <w:t xml:space="preserve">    </w:t>
      </w:r>
      <w:r>
        <w:rPr>
          <w:rFonts w:eastAsia="仿宋_GB2312"/>
          <w:color w:val="auto"/>
          <w:sz w:val="32"/>
          <w:szCs w:val="32"/>
        </w:rPr>
        <w:t>你公司（统一社会信用代码：</w:t>
      </w:r>
      <w:r>
        <w:rPr>
          <w:rFonts w:hint="eastAsia" w:eastAsia="仿宋_GB2312"/>
          <w:color w:val="auto"/>
          <w:sz w:val="32"/>
          <w:szCs w:val="32"/>
          <w:lang w:eastAsia="zh-CN"/>
        </w:rPr>
        <w:t>91410526MAEXT9240G</w:t>
      </w:r>
      <w:r>
        <w:rPr>
          <w:rFonts w:eastAsia="仿宋_GB2312"/>
          <w:color w:val="auto"/>
          <w:sz w:val="32"/>
          <w:szCs w:val="32"/>
        </w:rPr>
        <w:t>）上报的由</w:t>
      </w:r>
      <w:bookmarkStart w:id="4" w:name="OLE_LINK14"/>
      <w:bookmarkStart w:id="5" w:name="OLE_LINK13"/>
      <w:r>
        <w:rPr>
          <w:rFonts w:hint="eastAsia" w:eastAsia="仿宋_GB2312"/>
          <w:color w:val="auto"/>
          <w:sz w:val="32"/>
          <w:szCs w:val="32"/>
          <w:lang w:val="en-US" w:eastAsia="zh-CN"/>
        </w:rPr>
        <w:t>河南青盟环保科技有限公司</w:t>
      </w:r>
      <w:bookmarkEnd w:id="4"/>
      <w:bookmarkEnd w:id="5"/>
      <w:r>
        <w:rPr>
          <w:rFonts w:hint="eastAsia" w:eastAsia="仿宋_GB2312"/>
          <w:color w:val="auto"/>
          <w:sz w:val="32"/>
          <w:szCs w:val="32"/>
          <w:lang w:val="en-US" w:eastAsia="zh-CN"/>
        </w:rPr>
        <w:t>丁秀梅</w:t>
      </w:r>
      <w:r>
        <w:rPr>
          <w:rFonts w:eastAsia="仿宋_GB2312"/>
          <w:color w:val="auto"/>
          <w:sz w:val="32"/>
          <w:szCs w:val="32"/>
        </w:rPr>
        <w:t>（职业资格证书管理号：</w:t>
      </w:r>
      <w:r>
        <w:rPr>
          <w:rFonts w:hint="eastAsia" w:eastAsia="仿宋_GB2312"/>
          <w:color w:val="auto"/>
          <w:sz w:val="32"/>
          <w:szCs w:val="32"/>
        </w:rPr>
        <w:t>20201103541000000006</w:t>
      </w:r>
      <w:r>
        <w:rPr>
          <w:rFonts w:eastAsia="仿宋_GB2312"/>
          <w:color w:val="auto"/>
          <w:sz w:val="32"/>
          <w:szCs w:val="32"/>
        </w:rPr>
        <w:t>）主持</w:t>
      </w:r>
      <w:r>
        <w:rPr>
          <w:rFonts w:hint="eastAsia" w:eastAsia="仿宋_GB2312"/>
          <w:color w:val="auto"/>
          <w:sz w:val="32"/>
          <w:szCs w:val="32"/>
        </w:rPr>
        <w:t>编制完成的《</w:t>
      </w:r>
      <w:r>
        <w:rPr>
          <w:rFonts w:hint="eastAsia" w:eastAsia="仿宋_GB2312"/>
          <w:color w:val="auto"/>
          <w:sz w:val="32"/>
          <w:szCs w:val="32"/>
          <w:lang w:eastAsia="zh-CN"/>
        </w:rPr>
        <w:t>安阳瑞地新材料有限公司年产100吨海绵建设项目</w:t>
      </w:r>
      <w:r>
        <w:rPr>
          <w:rFonts w:hint="eastAsia" w:eastAsia="仿宋_GB2312"/>
          <w:color w:val="auto"/>
          <w:sz w:val="32"/>
          <w:szCs w:val="32"/>
        </w:rPr>
        <w:t>生态环境影响报告表</w:t>
      </w:r>
      <w:r>
        <w:rPr>
          <w:rFonts w:eastAsia="仿宋_GB2312"/>
          <w:color w:val="auto"/>
          <w:sz w:val="32"/>
          <w:szCs w:val="32"/>
        </w:rPr>
        <w:t>（报批版）》（以下简称《报告表》）及相关材料已收悉。该项目位于</w:t>
      </w:r>
      <w:r>
        <w:rPr>
          <w:rFonts w:hint="eastAsia" w:eastAsia="仿宋_GB2312"/>
          <w:color w:val="auto"/>
          <w:sz w:val="32"/>
          <w:szCs w:val="32"/>
          <w:lang w:eastAsia="zh-CN"/>
        </w:rPr>
        <w:t>河南省安阳市滑县王庄镇丁堤口村路口北200米27号</w:t>
      </w:r>
      <w:r>
        <w:rPr>
          <w:rFonts w:eastAsia="仿宋_GB2312"/>
          <w:color w:val="auto"/>
          <w:sz w:val="32"/>
          <w:szCs w:val="32"/>
        </w:rPr>
        <w:t>，</w:t>
      </w:r>
      <w:r>
        <w:rPr>
          <w:rFonts w:hint="eastAsia" w:eastAsia="仿宋_GB2312"/>
          <w:color w:val="auto"/>
          <w:sz w:val="32"/>
          <w:szCs w:val="32"/>
          <w:lang w:val="en-US" w:eastAsia="zh-CN"/>
        </w:rPr>
        <w:t>占地面积为13333.33m</w:t>
      </w:r>
      <w:r>
        <w:rPr>
          <w:rFonts w:hint="eastAsia" w:eastAsia="仿宋_GB2312"/>
          <w:color w:val="auto"/>
          <w:sz w:val="32"/>
          <w:szCs w:val="32"/>
          <w:vertAlign w:val="superscript"/>
          <w:lang w:val="en-US" w:eastAsia="zh-CN"/>
        </w:rPr>
        <w:t>2</w:t>
      </w:r>
      <w:r>
        <w:rPr>
          <w:rFonts w:hint="eastAsia" w:eastAsia="仿宋_GB2312"/>
          <w:color w:val="auto"/>
          <w:sz w:val="32"/>
          <w:szCs w:val="32"/>
          <w:lang w:val="en-US" w:eastAsia="zh-CN"/>
        </w:rPr>
        <w:t>，</w:t>
      </w:r>
      <w:r>
        <w:rPr>
          <w:rFonts w:eastAsia="仿宋_GB2312"/>
          <w:color w:val="auto"/>
          <w:sz w:val="32"/>
          <w:szCs w:val="32"/>
        </w:rPr>
        <w:t>总投资</w:t>
      </w:r>
      <w:r>
        <w:rPr>
          <w:rFonts w:hint="eastAsia" w:eastAsia="仿宋_GB2312"/>
          <w:color w:val="auto"/>
          <w:sz w:val="32"/>
          <w:szCs w:val="32"/>
          <w:lang w:val="en-US" w:eastAsia="zh-CN"/>
        </w:rPr>
        <w:t>50</w:t>
      </w:r>
      <w:r>
        <w:rPr>
          <w:rFonts w:eastAsia="仿宋_GB2312"/>
          <w:color w:val="auto"/>
          <w:sz w:val="32"/>
          <w:szCs w:val="32"/>
        </w:rPr>
        <w:t>万元，环保投资</w:t>
      </w:r>
      <w:r>
        <w:rPr>
          <w:rFonts w:hint="eastAsia" w:eastAsia="仿宋_GB2312"/>
          <w:color w:val="auto"/>
          <w:sz w:val="32"/>
          <w:szCs w:val="32"/>
          <w:lang w:val="en-US" w:eastAsia="zh-CN"/>
        </w:rPr>
        <w:t>9.5</w:t>
      </w:r>
      <w:r>
        <w:rPr>
          <w:rFonts w:eastAsia="仿宋_GB2312"/>
          <w:color w:val="auto"/>
          <w:sz w:val="32"/>
          <w:szCs w:val="32"/>
        </w:rPr>
        <w:t>万元。该环评审批事项已在我县政府网站公示期满。依据《中华人民共和国</w:t>
      </w:r>
      <w:r>
        <w:rPr>
          <w:rFonts w:hint="eastAsia" w:eastAsia="仿宋_GB2312"/>
          <w:color w:val="auto"/>
          <w:sz w:val="32"/>
          <w:szCs w:val="32"/>
          <w:lang w:val="en-US" w:eastAsia="zh-CN"/>
        </w:rPr>
        <w:t>生态环境法典</w:t>
      </w:r>
      <w:r>
        <w:rPr>
          <w:rFonts w:eastAsia="仿宋_GB2312"/>
          <w:color w:val="auto"/>
          <w:sz w:val="32"/>
          <w:szCs w:val="32"/>
        </w:rPr>
        <w:t>》、《中华人民共和国行政许可法》、《建设项目环境保护管理条例》等法律法规文件规定，经研究，批复如下：</w:t>
      </w:r>
    </w:p>
    <w:p w14:paraId="6D16C99F">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一、《报告表》内容符合国家有关法律法规要求和建设项目环境管理规定，评价结论可信，同意批准该《报告表》。你单位应按照《报告表》所列项目的性质、规模、地点、采用的生产工艺和环境保护对策进行项目建设。</w:t>
      </w:r>
    </w:p>
    <w:p w14:paraId="65616EE1">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二、你单位应向社会公众主动公开经批准的《报告表》，并接受相关方的咨询。</w:t>
      </w:r>
    </w:p>
    <w:p w14:paraId="3EA9BF40">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三、你单位应全面落实《报告表》提出的各项环境保护措施，确保各项环境保护设施与主体工程同时设计、同时施工、同时投入使用，确保各项污染物达标排放。</w:t>
      </w:r>
    </w:p>
    <w:p w14:paraId="08BF992E">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（一）向设计单位提供《报告表》和本批复文件，确保项目设计按照环境保护规范要求，落实防治环境污染和环保设施投资概算。</w:t>
      </w:r>
    </w:p>
    <w:p w14:paraId="70783A58">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（二）依据《报告表》和本批复文件，对项目运营过程中产生的废气、废水、噪声、固体废物等污染，采取相应的防治措施。</w:t>
      </w:r>
    </w:p>
    <w:p w14:paraId="0DAF6C6B">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（三）项目外排污染物应满足以下要求：</w:t>
      </w:r>
    </w:p>
    <w:p w14:paraId="42E5835F">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eastAsia="仿宋_GB2312"/>
          <w:color w:val="auto"/>
          <w:sz w:val="32"/>
          <w:szCs w:val="32"/>
        </w:rPr>
      </w:pPr>
      <w:bookmarkStart w:id="6" w:name="OLE_LINK16"/>
      <w:bookmarkStart w:id="7" w:name="OLE_LINK15"/>
      <w:r>
        <w:rPr>
          <w:rFonts w:eastAsia="仿宋_GB2312"/>
          <w:color w:val="auto"/>
          <w:sz w:val="32"/>
          <w:szCs w:val="32"/>
        </w:rPr>
        <w:t>1.</w:t>
      </w:r>
      <w:r>
        <w:rPr>
          <w:rFonts w:hint="eastAsia" w:eastAsia="仿宋_GB2312"/>
          <w:color w:val="auto"/>
          <w:sz w:val="32"/>
          <w:szCs w:val="32"/>
        </w:rPr>
        <w:t xml:space="preserve"> </w:t>
      </w:r>
      <w:r>
        <w:rPr>
          <w:rFonts w:eastAsia="仿宋_GB2312"/>
          <w:color w:val="auto"/>
          <w:sz w:val="32"/>
          <w:szCs w:val="32"/>
        </w:rPr>
        <w:t>废气：</w:t>
      </w:r>
      <w:r>
        <w:rPr>
          <w:rFonts w:hint="eastAsia" w:eastAsia="仿宋_GB2312"/>
          <w:color w:val="auto"/>
          <w:sz w:val="32"/>
          <w:szCs w:val="32"/>
        </w:rPr>
        <w:t>粉料投料</w:t>
      </w:r>
      <w:r>
        <w:rPr>
          <w:rFonts w:hint="eastAsia" w:eastAsia="仿宋_GB2312"/>
          <w:color w:val="auto"/>
          <w:sz w:val="32"/>
          <w:szCs w:val="32"/>
          <w:lang w:val="en-US" w:eastAsia="zh-CN"/>
        </w:rPr>
        <w:t>工序二次密闭，废气经集气装置收集后由袋式除尘器处理，通过15m高排气筒排放；发泡熟化工序</w:t>
      </w:r>
      <w:r>
        <w:rPr>
          <w:rFonts w:hint="eastAsia" w:eastAsia="仿宋_GB2312"/>
          <w:color w:val="auto"/>
          <w:sz w:val="32"/>
          <w:szCs w:val="32"/>
        </w:rPr>
        <w:t>二次封闭，废气经负压收集，</w:t>
      </w:r>
      <w:r>
        <w:rPr>
          <w:rFonts w:hint="eastAsia" w:eastAsia="仿宋_GB2312"/>
          <w:color w:val="auto"/>
          <w:sz w:val="32"/>
          <w:szCs w:val="32"/>
          <w:lang w:val="en-US" w:eastAsia="zh-CN"/>
        </w:rPr>
        <w:t>储罐呼吸废气经集气管道收集，</w:t>
      </w:r>
      <w:r>
        <w:rPr>
          <w:rFonts w:hint="eastAsia" w:ascii="Times New Roman" w:hAnsi="Times New Roman" w:eastAsia="仿宋_GB2312" w:cs="Times New Roman"/>
          <w:color w:val="000000"/>
          <w:sz w:val="32"/>
          <w:szCs w:val="32"/>
          <w:lang w:val="en-US" w:eastAsia="zh-CN"/>
        </w:rPr>
        <w:t>危废间废气经负压收集后</w:t>
      </w:r>
      <w:r>
        <w:rPr>
          <w:rFonts w:hint="eastAsia" w:eastAsia="仿宋_GB2312" w:cs="Times New Roman"/>
          <w:color w:val="000000"/>
          <w:sz w:val="32"/>
          <w:szCs w:val="32"/>
          <w:lang w:val="en-US" w:eastAsia="zh-CN"/>
        </w:rPr>
        <w:t>，</w:t>
      </w:r>
      <w:r>
        <w:rPr>
          <w:rFonts w:hint="eastAsia" w:eastAsia="仿宋_GB2312"/>
          <w:color w:val="auto"/>
          <w:sz w:val="32"/>
          <w:szCs w:val="32"/>
          <w:lang w:val="en-US" w:eastAsia="zh-CN"/>
        </w:rPr>
        <w:t>废气一同由</w:t>
      </w:r>
      <w:r>
        <w:rPr>
          <w:rFonts w:hint="eastAsia" w:eastAsia="仿宋_GB2312"/>
          <w:color w:val="auto"/>
          <w:sz w:val="32"/>
          <w:szCs w:val="32"/>
          <w:lang w:eastAsia="zh-CN"/>
        </w:rPr>
        <w:t>“</w:t>
      </w:r>
      <w:r>
        <w:rPr>
          <w:rFonts w:hint="eastAsia" w:eastAsia="仿宋_GB2312"/>
          <w:color w:val="auto"/>
          <w:sz w:val="32"/>
          <w:szCs w:val="32"/>
        </w:rPr>
        <w:t>活性炭吸附装置</w:t>
      </w:r>
      <w:r>
        <w:rPr>
          <w:rFonts w:hint="eastAsia" w:eastAsia="仿宋_GB2312"/>
          <w:color w:val="auto"/>
          <w:sz w:val="32"/>
          <w:szCs w:val="32"/>
          <w:lang w:eastAsia="zh-CN"/>
        </w:rPr>
        <w:t>”</w:t>
      </w:r>
      <w:r>
        <w:rPr>
          <w:rFonts w:hint="eastAsia" w:eastAsia="仿宋_GB2312"/>
          <w:color w:val="auto"/>
          <w:sz w:val="32"/>
          <w:szCs w:val="32"/>
        </w:rPr>
        <w:t>处理后</w:t>
      </w:r>
      <w:r>
        <w:rPr>
          <w:rFonts w:hint="eastAsia" w:eastAsia="仿宋_GB2312"/>
          <w:color w:val="auto"/>
          <w:sz w:val="32"/>
          <w:szCs w:val="32"/>
          <w:lang w:eastAsia="zh-CN"/>
        </w:rPr>
        <w:t>通过15m高排气筒排放</w:t>
      </w:r>
      <w:r>
        <w:rPr>
          <w:rFonts w:hint="eastAsia" w:eastAsia="仿宋_GB2312"/>
          <w:color w:val="auto"/>
          <w:sz w:val="32"/>
          <w:szCs w:val="32"/>
        </w:rPr>
        <w:t>。</w:t>
      </w:r>
      <w:r>
        <w:rPr>
          <w:rFonts w:hint="eastAsia" w:ascii="Times New Roman" w:hAnsi="Times New Roman" w:eastAsia="仿宋_GB2312" w:cs="Times New Roman"/>
          <w:color w:val="000000"/>
          <w:sz w:val="32"/>
          <w:szCs w:val="32"/>
          <w:lang w:val="en-US" w:eastAsia="zh-CN"/>
        </w:rPr>
        <w:t>废气排放须满足</w:t>
      </w:r>
      <w:r>
        <w:rPr>
          <w:rFonts w:hint="eastAsia" w:eastAsia="仿宋_GB2312"/>
          <w:color w:val="auto"/>
          <w:sz w:val="32"/>
          <w:szCs w:val="32"/>
          <w:lang w:val="en-US" w:eastAsia="zh-CN"/>
        </w:rPr>
        <w:t>《合成树脂工业污染物排放标准》</w:t>
      </w:r>
      <w:r>
        <w:rPr>
          <w:rFonts w:hint="default" w:eastAsia="仿宋_GB2312"/>
          <w:color w:val="auto"/>
          <w:sz w:val="32"/>
          <w:szCs w:val="32"/>
          <w:lang w:val="en-US" w:eastAsia="zh-CN"/>
        </w:rPr>
        <w:t>GB31572-2015</w:t>
      </w:r>
      <w:r>
        <w:rPr>
          <w:rFonts w:hint="eastAsia" w:eastAsia="仿宋_GB2312"/>
          <w:color w:val="auto"/>
          <w:sz w:val="32"/>
          <w:szCs w:val="32"/>
          <w:lang w:val="en-US" w:eastAsia="zh-CN"/>
        </w:rPr>
        <w:t>（含</w:t>
      </w:r>
      <w:r>
        <w:rPr>
          <w:rFonts w:hint="default" w:eastAsia="仿宋_GB2312"/>
          <w:color w:val="auto"/>
          <w:sz w:val="32"/>
          <w:szCs w:val="32"/>
          <w:lang w:val="en-US" w:eastAsia="zh-CN"/>
        </w:rPr>
        <w:t>2024</w:t>
      </w:r>
      <w:r>
        <w:rPr>
          <w:rFonts w:hint="eastAsia" w:eastAsia="仿宋_GB2312"/>
          <w:color w:val="auto"/>
          <w:sz w:val="32"/>
          <w:szCs w:val="32"/>
          <w:lang w:val="en-US" w:eastAsia="zh-CN"/>
        </w:rPr>
        <w:t>年修改单）排放限值、《河南省重污染天气重点行业应急减排措施制定技术指南（</w:t>
      </w:r>
      <w:r>
        <w:rPr>
          <w:rFonts w:hint="default" w:eastAsia="仿宋_GB2312"/>
          <w:color w:val="auto"/>
          <w:sz w:val="32"/>
          <w:szCs w:val="32"/>
          <w:lang w:val="en-US" w:eastAsia="zh-CN"/>
        </w:rPr>
        <w:t>2024</w:t>
      </w:r>
      <w:r>
        <w:rPr>
          <w:rFonts w:hint="eastAsia" w:eastAsia="仿宋_GB2312"/>
          <w:color w:val="auto"/>
          <w:sz w:val="32"/>
          <w:szCs w:val="32"/>
          <w:lang w:val="en-US" w:eastAsia="zh-CN"/>
        </w:rPr>
        <w:t>年修订版）》</w:t>
      </w:r>
      <w:r>
        <w:rPr>
          <w:rFonts w:hint="eastAsia" w:eastAsia="仿宋_GB2312"/>
          <w:color w:val="000000"/>
          <w:sz w:val="32"/>
          <w:szCs w:val="32"/>
        </w:rPr>
        <w:t>中塑料制品行业A级要求</w:t>
      </w:r>
      <w:r>
        <w:rPr>
          <w:rFonts w:hint="eastAsia" w:eastAsia="仿宋_GB2312"/>
          <w:color w:val="auto"/>
          <w:sz w:val="32"/>
          <w:szCs w:val="32"/>
          <w:lang w:val="en-US" w:eastAsia="zh-CN"/>
        </w:rPr>
        <w:t>、《挥发性有机物无组织排放控制标准》（</w:t>
      </w:r>
      <w:r>
        <w:rPr>
          <w:rFonts w:hint="default" w:eastAsia="仿宋_GB2312"/>
          <w:color w:val="auto"/>
          <w:sz w:val="32"/>
          <w:szCs w:val="32"/>
          <w:lang w:val="en-US" w:eastAsia="zh-CN"/>
        </w:rPr>
        <w:t>GB37822-2019</w:t>
      </w:r>
      <w:r>
        <w:rPr>
          <w:rFonts w:hint="eastAsia" w:eastAsia="仿宋_GB2312"/>
          <w:color w:val="auto"/>
          <w:sz w:val="32"/>
          <w:szCs w:val="32"/>
          <w:lang w:val="en-US" w:eastAsia="zh-CN"/>
        </w:rPr>
        <w:t>）限值要求、《恶臭污染物排放标准》（</w:t>
      </w:r>
      <w:r>
        <w:rPr>
          <w:rFonts w:hint="default" w:eastAsia="仿宋_GB2312"/>
          <w:color w:val="auto"/>
          <w:sz w:val="32"/>
          <w:szCs w:val="32"/>
          <w:lang w:val="en-US" w:eastAsia="zh-CN"/>
        </w:rPr>
        <w:t>GB14554-93</w:t>
      </w:r>
      <w:r>
        <w:rPr>
          <w:rFonts w:hint="eastAsia" w:eastAsia="仿宋_GB2312"/>
          <w:color w:val="auto"/>
          <w:sz w:val="32"/>
          <w:szCs w:val="32"/>
          <w:lang w:val="en-US" w:eastAsia="zh-CN"/>
        </w:rPr>
        <w:t>）标准、</w:t>
      </w:r>
      <w:r>
        <w:rPr>
          <w:rFonts w:hint="eastAsia" w:ascii="Times New Roman" w:hAnsi="Times New Roman" w:eastAsia="仿宋_GB2312" w:cs="Times New Roman"/>
          <w:color w:val="000000"/>
          <w:sz w:val="32"/>
          <w:szCs w:val="32"/>
          <w:lang w:val="en-US" w:eastAsia="zh-CN"/>
        </w:rPr>
        <w:t>《安阳市2019年工业大气污染治理5个专项实施方案》（安环攻坚办〔2019〕196号）要求</w:t>
      </w:r>
      <w:r>
        <w:rPr>
          <w:rFonts w:hint="eastAsia" w:eastAsia="仿宋_GB2312"/>
          <w:color w:val="auto"/>
          <w:sz w:val="32"/>
          <w:szCs w:val="32"/>
          <w:lang w:val="en-US" w:eastAsia="zh-CN"/>
        </w:rPr>
        <w:t>及《关于全省开展工业企业挥发性有机物专项治理工作中排放建议值的通知》（豫环攻坚办〔</w:t>
      </w:r>
      <w:r>
        <w:rPr>
          <w:rFonts w:hint="default" w:eastAsia="仿宋_GB2312"/>
          <w:color w:val="auto"/>
          <w:sz w:val="32"/>
          <w:szCs w:val="32"/>
          <w:lang w:val="en-US" w:eastAsia="zh-CN"/>
        </w:rPr>
        <w:t>2017</w:t>
      </w:r>
      <w:r>
        <w:rPr>
          <w:rFonts w:hint="eastAsia" w:eastAsia="仿宋_GB2312"/>
          <w:color w:val="auto"/>
          <w:sz w:val="32"/>
          <w:szCs w:val="32"/>
          <w:lang w:val="en-US" w:eastAsia="zh-CN"/>
        </w:rPr>
        <w:t>〕</w:t>
      </w:r>
      <w:r>
        <w:rPr>
          <w:rFonts w:hint="default" w:eastAsia="仿宋_GB2312"/>
          <w:color w:val="auto"/>
          <w:sz w:val="32"/>
          <w:szCs w:val="32"/>
          <w:lang w:val="en-US" w:eastAsia="zh-CN"/>
        </w:rPr>
        <w:t>162</w:t>
      </w:r>
      <w:r>
        <w:rPr>
          <w:rFonts w:hint="eastAsia" w:eastAsia="仿宋_GB2312"/>
          <w:color w:val="auto"/>
          <w:sz w:val="32"/>
          <w:szCs w:val="32"/>
          <w:lang w:val="en-US" w:eastAsia="zh-CN"/>
        </w:rPr>
        <w:t>号）</w:t>
      </w:r>
      <w:r>
        <w:rPr>
          <w:rFonts w:hint="eastAsia" w:eastAsia="仿宋_GB2312"/>
          <w:color w:val="auto"/>
          <w:sz w:val="32"/>
          <w:szCs w:val="32"/>
        </w:rPr>
        <w:t>。</w:t>
      </w:r>
    </w:p>
    <w:p w14:paraId="1F7AB93F">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eastAsia="仿宋_GB2312"/>
          <w:color w:val="auto"/>
          <w:sz w:val="32"/>
          <w:szCs w:val="32"/>
          <w:lang w:eastAsia="zh-CN"/>
        </w:rPr>
      </w:pPr>
      <w:r>
        <w:rPr>
          <w:rFonts w:eastAsia="仿宋_GB2312"/>
          <w:color w:val="auto"/>
          <w:sz w:val="32"/>
          <w:szCs w:val="32"/>
        </w:rPr>
        <w:t>2.</w:t>
      </w:r>
      <w:r>
        <w:rPr>
          <w:rFonts w:hint="eastAsia" w:eastAsia="仿宋_GB2312"/>
          <w:color w:val="auto"/>
          <w:sz w:val="32"/>
          <w:szCs w:val="32"/>
        </w:rPr>
        <w:t xml:space="preserve"> </w:t>
      </w:r>
      <w:r>
        <w:rPr>
          <w:rFonts w:eastAsia="仿宋_GB2312"/>
          <w:color w:val="auto"/>
          <w:sz w:val="32"/>
          <w:szCs w:val="32"/>
        </w:rPr>
        <w:t>废水：</w:t>
      </w:r>
      <w:r>
        <w:rPr>
          <w:rFonts w:hint="eastAsia" w:eastAsia="仿宋_GB2312"/>
          <w:color w:val="auto"/>
          <w:sz w:val="32"/>
          <w:szCs w:val="32"/>
        </w:rPr>
        <w:t>生活污水经化粪池（</w:t>
      </w:r>
      <w:r>
        <w:rPr>
          <w:rFonts w:hint="eastAsia" w:eastAsia="仿宋_GB2312"/>
          <w:color w:val="auto"/>
          <w:sz w:val="32"/>
          <w:szCs w:val="32"/>
          <w:lang w:val="en-US" w:eastAsia="zh-CN"/>
        </w:rPr>
        <w:t>2</w:t>
      </w:r>
      <w:r>
        <w:rPr>
          <w:rFonts w:hint="eastAsia" w:eastAsia="仿宋_GB2312"/>
          <w:color w:val="auto"/>
          <w:sz w:val="32"/>
          <w:szCs w:val="32"/>
        </w:rPr>
        <w:t>m³）处理后由建设单位定期清运肥田。</w:t>
      </w:r>
    </w:p>
    <w:p w14:paraId="5ED0E91B">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eastAsia="仿宋_GB2312"/>
          <w:color w:val="auto"/>
          <w:sz w:val="32"/>
          <w:szCs w:val="32"/>
          <w:lang w:val="en-US" w:eastAsia="zh-CN"/>
        </w:rPr>
      </w:pPr>
      <w:r>
        <w:rPr>
          <w:rFonts w:eastAsia="仿宋_GB2312"/>
          <w:color w:val="auto"/>
          <w:sz w:val="32"/>
          <w:szCs w:val="32"/>
        </w:rPr>
        <w:t>3.</w:t>
      </w:r>
      <w:r>
        <w:rPr>
          <w:rFonts w:hint="eastAsia" w:eastAsia="仿宋_GB2312"/>
          <w:color w:val="auto"/>
          <w:sz w:val="32"/>
          <w:szCs w:val="32"/>
        </w:rPr>
        <w:t xml:space="preserve"> </w:t>
      </w:r>
      <w:r>
        <w:rPr>
          <w:rFonts w:eastAsia="仿宋_GB2312"/>
          <w:color w:val="auto"/>
          <w:sz w:val="32"/>
          <w:szCs w:val="32"/>
        </w:rPr>
        <w:t>噪声：</w:t>
      </w:r>
      <w:r>
        <w:rPr>
          <w:rFonts w:hint="eastAsia" w:eastAsia="仿宋_GB2312"/>
          <w:color w:val="auto"/>
          <w:sz w:val="32"/>
          <w:szCs w:val="32"/>
        </w:rPr>
        <w:t>搅拌罐</w:t>
      </w:r>
      <w:r>
        <w:rPr>
          <w:rFonts w:hint="eastAsia" w:eastAsia="仿宋_GB2312"/>
          <w:color w:val="auto"/>
          <w:sz w:val="32"/>
          <w:szCs w:val="32"/>
          <w:lang w:eastAsia="zh-CN"/>
        </w:rPr>
        <w:t>、</w:t>
      </w:r>
      <w:r>
        <w:rPr>
          <w:rFonts w:hint="eastAsia" w:eastAsia="仿宋_GB2312"/>
          <w:color w:val="auto"/>
          <w:sz w:val="32"/>
          <w:szCs w:val="32"/>
          <w:lang w:val="en-US" w:eastAsia="zh-CN"/>
        </w:rPr>
        <w:t>发泡机</w:t>
      </w:r>
      <w:r>
        <w:rPr>
          <w:rFonts w:hint="eastAsia" w:eastAsia="仿宋_GB2312"/>
          <w:color w:val="auto"/>
          <w:sz w:val="32"/>
          <w:szCs w:val="32"/>
        </w:rPr>
        <w:t>、</w:t>
      </w:r>
      <w:r>
        <w:rPr>
          <w:rFonts w:hint="eastAsia" w:eastAsia="仿宋_GB2312"/>
          <w:color w:val="auto"/>
          <w:sz w:val="32"/>
          <w:szCs w:val="32"/>
          <w:lang w:val="en-US" w:eastAsia="zh-CN"/>
        </w:rPr>
        <w:t>切割机、空压机、风机</w:t>
      </w:r>
      <w:r>
        <w:rPr>
          <w:rFonts w:hint="eastAsia" w:eastAsia="仿宋_GB2312"/>
          <w:color w:val="auto"/>
          <w:sz w:val="32"/>
          <w:szCs w:val="32"/>
        </w:rPr>
        <w:t>等设备运行时产生的噪声，</w:t>
      </w:r>
      <w:r>
        <w:rPr>
          <w:rFonts w:eastAsia="仿宋_GB2312"/>
          <w:color w:val="auto"/>
          <w:sz w:val="32"/>
          <w:szCs w:val="32"/>
        </w:rPr>
        <w:t>经采取基础减振、厂房隔声、距离衰减等措施后，厂界噪声排放须满足《工业企业厂界环境噪声排放标准</w:t>
      </w:r>
      <w:r>
        <w:rPr>
          <w:rFonts w:hint="eastAsia" w:eastAsia="仿宋_GB2312"/>
          <w:color w:val="auto"/>
          <w:sz w:val="32"/>
          <w:szCs w:val="32"/>
          <w:lang w:eastAsia="zh-CN"/>
        </w:rPr>
        <w:t>》</w:t>
      </w:r>
      <w:r>
        <w:rPr>
          <w:rFonts w:eastAsia="仿宋_GB2312"/>
          <w:color w:val="auto"/>
          <w:sz w:val="32"/>
          <w:szCs w:val="32"/>
        </w:rPr>
        <w:t>（GB12348-2008）</w:t>
      </w:r>
      <w:r>
        <w:rPr>
          <w:rFonts w:hint="eastAsia" w:eastAsia="仿宋_GB2312"/>
          <w:color w:val="auto"/>
          <w:sz w:val="32"/>
          <w:szCs w:val="32"/>
          <w:lang w:val="en-US" w:eastAsia="zh-CN"/>
        </w:rPr>
        <w:t>2</w:t>
      </w:r>
      <w:r>
        <w:rPr>
          <w:rFonts w:eastAsia="仿宋_GB2312"/>
          <w:color w:val="auto"/>
          <w:sz w:val="32"/>
          <w:szCs w:val="32"/>
        </w:rPr>
        <w:t>类</w:t>
      </w:r>
      <w:r>
        <w:rPr>
          <w:rFonts w:hint="eastAsia" w:eastAsia="仿宋_GB2312"/>
          <w:color w:val="auto"/>
          <w:sz w:val="32"/>
          <w:szCs w:val="32"/>
          <w:lang w:val="en-US" w:eastAsia="zh-CN"/>
        </w:rPr>
        <w:t>标准限值。</w:t>
      </w:r>
    </w:p>
    <w:p w14:paraId="4492BF2A">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eastAsia="仿宋_GB2312"/>
          <w:color w:val="auto"/>
          <w:sz w:val="32"/>
          <w:szCs w:val="32"/>
        </w:rPr>
      </w:pPr>
      <w:r>
        <w:rPr>
          <w:rFonts w:hint="eastAsia" w:eastAsia="仿宋_GB2312"/>
          <w:color w:val="auto"/>
          <w:sz w:val="32"/>
          <w:szCs w:val="32"/>
          <w:lang w:val="en-US" w:eastAsia="zh-CN"/>
        </w:rPr>
        <w:t>4. 固体废物：石粉废包装袋、边角废料及不合格品、除尘器收尘及废布袋</w:t>
      </w:r>
      <w:r>
        <w:rPr>
          <w:rFonts w:hint="eastAsia" w:ascii="Times New Roman" w:hAnsi="Times New Roman" w:eastAsia="仿宋_GB2312" w:cs="Times New Roman"/>
          <w:color w:val="000000"/>
          <w:sz w:val="32"/>
          <w:szCs w:val="32"/>
          <w:lang w:val="en-US" w:eastAsia="zh-CN"/>
        </w:rPr>
        <w:t>收集后暂存于一般固废</w:t>
      </w:r>
      <w:r>
        <w:rPr>
          <w:rFonts w:hint="eastAsia" w:eastAsia="仿宋_GB2312" w:cs="Times New Roman"/>
          <w:color w:val="000000"/>
          <w:sz w:val="32"/>
          <w:szCs w:val="32"/>
          <w:lang w:val="en-US" w:eastAsia="zh-CN"/>
        </w:rPr>
        <w:t>暂存</w:t>
      </w:r>
      <w:r>
        <w:rPr>
          <w:rFonts w:hint="eastAsia" w:ascii="Times New Roman" w:hAnsi="Times New Roman" w:eastAsia="仿宋_GB2312" w:cs="Times New Roman"/>
          <w:color w:val="000000"/>
          <w:sz w:val="32"/>
          <w:szCs w:val="32"/>
          <w:lang w:val="en-US" w:eastAsia="zh-CN"/>
        </w:rPr>
        <w:t>间（</w:t>
      </w:r>
      <w:r>
        <w:rPr>
          <w:rFonts w:hint="eastAsia" w:eastAsia="仿宋_GB2312" w:cs="Times New Roman"/>
          <w:color w:val="000000"/>
          <w:sz w:val="32"/>
          <w:szCs w:val="32"/>
          <w:lang w:val="en-US" w:eastAsia="zh-CN"/>
        </w:rPr>
        <w:t>10</w:t>
      </w:r>
      <w:r>
        <w:rPr>
          <w:rFonts w:hint="eastAsia" w:ascii="Times New Roman" w:hAnsi="Times New Roman" w:eastAsia="仿宋_GB2312" w:cs="Times New Roman"/>
          <w:color w:val="000000"/>
          <w:sz w:val="32"/>
          <w:szCs w:val="32"/>
          <w:lang w:val="en-US" w:eastAsia="zh-CN"/>
        </w:rPr>
        <w:t>m</w:t>
      </w:r>
      <w:r>
        <w:rPr>
          <w:rFonts w:hint="eastAsia" w:ascii="Times New Roman" w:hAnsi="Times New Roman" w:eastAsia="仿宋_GB2312" w:cs="Times New Roman"/>
          <w:color w:val="000000"/>
          <w:sz w:val="32"/>
          <w:szCs w:val="32"/>
          <w:vertAlign w:val="superscript"/>
          <w:lang w:val="en-US" w:eastAsia="zh-CN"/>
        </w:rPr>
        <w:t>2</w:t>
      </w:r>
      <w:r>
        <w:rPr>
          <w:rFonts w:hint="eastAsia" w:ascii="Times New Roman" w:hAnsi="Times New Roman" w:eastAsia="仿宋_GB2312" w:cs="Times New Roman"/>
          <w:color w:val="000000"/>
          <w:sz w:val="32"/>
          <w:szCs w:val="32"/>
          <w:lang w:val="en-US" w:eastAsia="zh-CN"/>
        </w:rPr>
        <w:t>）</w:t>
      </w:r>
      <w:r>
        <w:rPr>
          <w:rFonts w:hint="eastAsia" w:eastAsia="仿宋_GB2312"/>
          <w:color w:val="auto"/>
          <w:sz w:val="32"/>
          <w:szCs w:val="32"/>
          <w:lang w:val="en-US" w:eastAsia="zh-CN"/>
        </w:rPr>
        <w:t>，分类处置；废活性炭、废液压油密闭容器分类收集，废液压油桶、废原料桶收集后暂存于危废暂存间（20m</w:t>
      </w:r>
      <w:r>
        <w:rPr>
          <w:rFonts w:hint="eastAsia" w:eastAsia="仿宋_GB2312"/>
          <w:color w:val="auto"/>
          <w:sz w:val="32"/>
          <w:szCs w:val="32"/>
          <w:vertAlign w:val="superscript"/>
          <w:lang w:val="en-US" w:eastAsia="zh-CN"/>
        </w:rPr>
        <w:t>2</w:t>
      </w:r>
      <w:r>
        <w:rPr>
          <w:rFonts w:hint="eastAsia" w:eastAsia="仿宋_GB2312"/>
          <w:color w:val="auto"/>
          <w:sz w:val="32"/>
          <w:szCs w:val="32"/>
          <w:lang w:val="en-US" w:eastAsia="zh-CN"/>
        </w:rPr>
        <w:t>），</w:t>
      </w:r>
      <w:r>
        <w:rPr>
          <w:rFonts w:hint="eastAsia" w:ascii="Times New Roman" w:hAnsi="Times New Roman" w:eastAsia="仿宋_GB2312" w:cs="Times New Roman"/>
          <w:color w:val="000000"/>
          <w:sz w:val="32"/>
          <w:szCs w:val="32"/>
          <w:lang w:val="en-US" w:eastAsia="zh-CN"/>
        </w:rPr>
        <w:t>定期交由就近有资质单位处置；生活垃圾经垃圾桶收集后由环卫部门定期清运。</w:t>
      </w:r>
      <w:r>
        <w:rPr>
          <w:rFonts w:eastAsia="仿宋_GB2312"/>
          <w:color w:val="auto"/>
          <w:sz w:val="32"/>
          <w:szCs w:val="32"/>
        </w:rPr>
        <w:t>一般固体废物暂存应满足《一般工业固体废物贮存和填埋污染控制标准》（</w:t>
      </w:r>
      <w:r>
        <w:rPr>
          <w:rFonts w:hint="eastAsia" w:eastAsia="仿宋_GB2312"/>
          <w:color w:val="auto"/>
          <w:sz w:val="32"/>
          <w:szCs w:val="32"/>
        </w:rPr>
        <w:t>GB18599 -2020）要求，危险废物暂存应满足《危险废物贮存污染控制标准》（GB18597-2023）要求。</w:t>
      </w:r>
    </w:p>
    <w:bookmarkEnd w:id="6"/>
    <w:bookmarkEnd w:id="7"/>
    <w:p w14:paraId="246EAAF6">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hint="eastAsia" w:ascii="Times New Roman" w:hAnsi="Times New Roman" w:eastAsia="仿宋_GB2312" w:cs="Times New Roman"/>
          <w:color w:val="000000"/>
          <w:sz w:val="32"/>
          <w:szCs w:val="32"/>
          <w:lang w:val="en-US" w:eastAsia="zh-CN"/>
        </w:rPr>
      </w:pPr>
      <w:r>
        <w:rPr>
          <w:rFonts w:hint="eastAsia" w:eastAsia="仿宋_GB2312"/>
          <w:color w:val="auto"/>
          <w:sz w:val="32"/>
          <w:szCs w:val="32"/>
        </w:rPr>
        <w:t>（四）</w:t>
      </w:r>
      <w:r>
        <w:rPr>
          <w:rFonts w:hint="eastAsia" w:ascii="Times New Roman" w:hAnsi="Times New Roman" w:eastAsia="仿宋_GB2312" w:cs="Times New Roman"/>
          <w:color w:val="000000"/>
          <w:sz w:val="32"/>
          <w:szCs w:val="32"/>
          <w:lang w:val="en-US" w:eastAsia="zh-CN"/>
        </w:rPr>
        <w:t xml:space="preserve">本项目建成后主要污染物排放总量控制指标为：颗粒物0.0014t/a、VOCs0.0455t/a。颗粒物从滑县众诚实业发展有限公司颗粒物综合治理项目减排量中倍量替代，VOCs从河南中阳再生资源有限公司催化燃烧升级改造项目减排量中倍量替代。   </w:t>
      </w:r>
    </w:p>
    <w:p w14:paraId="5751547E">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四、在项目发生实际排污行为前，按照经批准的环境影响评价文件认真梳理并确认各项环境保护措施落实后，依法办理排污许可手续。</w:t>
      </w:r>
    </w:p>
    <w:p w14:paraId="055AEBA3">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五、项目建设必须严格执行配套的环境保护设施与主体工程同时设计、同时施工、同时投产使用的“三同时”制度，并按规定程序开展竣工环境保护验收。</w:t>
      </w:r>
    </w:p>
    <w:p w14:paraId="09B8FA3E">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六、环境影响报告表经批准后，项目的性质、规模、地点、生产工艺和环境保护措施发生重大变动的，应当依法重新报批项目环境影响评价手续。</w:t>
      </w:r>
    </w:p>
    <w:p w14:paraId="4025C1D8">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eastAsia="仿宋_GB2312"/>
          <w:color w:val="auto"/>
          <w:sz w:val="32"/>
          <w:szCs w:val="32"/>
        </w:rPr>
      </w:pPr>
      <w:r>
        <w:rPr>
          <w:rFonts w:eastAsia="仿宋_GB2312"/>
          <w:color w:val="auto"/>
          <w:sz w:val="32"/>
          <w:szCs w:val="32"/>
        </w:rPr>
        <w:t>七、如果今后国家或我省颁布新标准或对治污设施有新要求，你单位应按新标准、新要求执行。</w:t>
      </w:r>
    </w:p>
    <w:p w14:paraId="349AFFA6">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napToGrid/>
        <w:spacing w:before="75" w:beforeAutospacing="0" w:after="75" w:afterAutospacing="0" w:line="640" w:lineRule="exact"/>
        <w:ind w:left="0" w:right="0" w:firstLine="0"/>
        <w:textAlignment w:val="auto"/>
        <w:rPr>
          <w:rFonts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公告期限：自本公告发布之日起7日。</w:t>
      </w:r>
    </w:p>
    <w:p w14:paraId="5993066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bidi w:val="0"/>
        <w:snapToGrid/>
        <w:spacing w:before="75" w:beforeAutospacing="0" w:after="75" w:afterAutospacing="0" w:line="640" w:lineRule="exact"/>
        <w:ind w:left="0" w:right="0" w:firstLine="645"/>
        <w:textAlignment w:val="auto"/>
        <w:rPr>
          <w:rFonts w:hint="default"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行政复议与行政诉讼权利告知：依据《中华人民共和国行政复议法》和《中华人民共和国行政诉讼法》，公民、法人或者其他组织认为公告的建设项目环境影响评价文件审批决定侵犯其合法权益的，可以自公告期限届满之日起六十日内提起行政复议，也可以自公告期限届满之日起六个月内提起行政诉讼。</w:t>
      </w:r>
    </w:p>
    <w:p w14:paraId="666A5E98">
      <w:pPr>
        <w:keepNext w:val="0"/>
        <w:keepLines w:val="0"/>
        <w:pageBreakBefore w:val="0"/>
        <w:widowControl w:val="0"/>
        <w:kinsoku/>
        <w:wordWrap/>
        <w:overflowPunct/>
        <w:topLinePunct w:val="0"/>
        <w:autoSpaceDE/>
        <w:autoSpaceDN/>
        <w:bidi w:val="0"/>
        <w:adjustRightInd/>
        <w:snapToGrid/>
        <w:spacing w:line="640" w:lineRule="exact"/>
        <w:ind w:firstLine="640" w:firstLineChars="200"/>
        <w:jc w:val="left"/>
        <w:textAlignment w:val="auto"/>
        <w:rPr>
          <w:rFonts w:ascii="Times New Roman" w:hAnsi="Times New Roman" w:eastAsia="仿宋_GB2312" w:cs="Times New Roman"/>
          <w:color w:val="auto"/>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 联系地址：安阳市人民政府</w:t>
      </w:r>
    </w:p>
    <w:p w14:paraId="44AC4A78">
      <w:pPr>
        <w:pStyle w:val="2"/>
        <w:keepNext w:val="0"/>
        <w:keepLines w:val="0"/>
        <w:pageBreakBefore w:val="0"/>
        <w:widowControl w:val="0"/>
        <w:kinsoku/>
        <w:wordWrap/>
        <w:overflowPunct/>
        <w:topLinePunct w:val="0"/>
        <w:bidi w:val="0"/>
        <w:snapToGrid/>
        <w:spacing w:line="640" w:lineRule="exact"/>
        <w:textAlignment w:val="auto"/>
        <w:rPr>
          <w:rFonts w:eastAsia="仿宋_GB2312"/>
          <w:color w:val="auto"/>
          <w:sz w:val="32"/>
          <w:szCs w:val="32"/>
        </w:rPr>
      </w:pPr>
    </w:p>
    <w:p w14:paraId="5BBE3F2A">
      <w:pPr>
        <w:pStyle w:val="2"/>
        <w:keepNext w:val="0"/>
        <w:keepLines w:val="0"/>
        <w:pageBreakBefore w:val="0"/>
        <w:widowControl w:val="0"/>
        <w:kinsoku/>
        <w:wordWrap/>
        <w:overflowPunct/>
        <w:topLinePunct w:val="0"/>
        <w:bidi w:val="0"/>
        <w:snapToGrid/>
        <w:spacing w:line="640" w:lineRule="exact"/>
        <w:textAlignment w:val="auto"/>
        <w:rPr>
          <w:rFonts w:eastAsia="仿宋_GB2312"/>
          <w:color w:val="auto"/>
          <w:sz w:val="32"/>
          <w:szCs w:val="32"/>
        </w:rPr>
      </w:pPr>
    </w:p>
    <w:p w14:paraId="26A430AC">
      <w:pPr>
        <w:keepNext w:val="0"/>
        <w:keepLines w:val="0"/>
        <w:pageBreakBefore w:val="0"/>
        <w:widowControl w:val="0"/>
        <w:kinsoku/>
        <w:wordWrap/>
        <w:overflowPunct/>
        <w:topLinePunct w:val="0"/>
        <w:autoSpaceDE/>
        <w:autoSpaceDN/>
        <w:bidi w:val="0"/>
        <w:adjustRightInd/>
        <w:snapToGrid/>
        <w:spacing w:line="640" w:lineRule="exact"/>
        <w:ind w:firstLine="5120" w:firstLineChars="1600"/>
        <w:jc w:val="left"/>
        <w:textAlignment w:val="auto"/>
        <w:rPr>
          <w:rFonts w:eastAsia="仿宋_GB2312"/>
          <w:color w:val="auto"/>
          <w:sz w:val="32"/>
          <w:szCs w:val="32"/>
        </w:rPr>
      </w:pPr>
      <w:r>
        <w:rPr>
          <w:rFonts w:eastAsia="仿宋_GB2312"/>
          <w:color w:val="auto"/>
          <w:sz w:val="32"/>
          <w:szCs w:val="32"/>
        </w:rPr>
        <w:t>202</w:t>
      </w:r>
      <w:r>
        <w:rPr>
          <w:rFonts w:hint="eastAsia" w:eastAsia="仿宋_GB2312"/>
          <w:color w:val="auto"/>
          <w:sz w:val="32"/>
          <w:szCs w:val="32"/>
          <w:lang w:val="en-US" w:eastAsia="zh-CN"/>
        </w:rPr>
        <w:t>6</w:t>
      </w:r>
      <w:r>
        <w:rPr>
          <w:rFonts w:eastAsia="仿宋_GB2312"/>
          <w:color w:val="auto"/>
          <w:sz w:val="32"/>
          <w:szCs w:val="32"/>
        </w:rPr>
        <w:t>年</w:t>
      </w:r>
      <w:r>
        <w:rPr>
          <w:rFonts w:hint="eastAsia" w:eastAsia="仿宋_GB2312"/>
          <w:color w:val="auto"/>
          <w:sz w:val="32"/>
          <w:szCs w:val="32"/>
          <w:lang w:val="en-US" w:eastAsia="zh-CN"/>
        </w:rPr>
        <w:t>10</w:t>
      </w:r>
      <w:r>
        <w:rPr>
          <w:rFonts w:eastAsia="仿宋_GB2312"/>
          <w:color w:val="auto"/>
          <w:sz w:val="32"/>
          <w:szCs w:val="32"/>
        </w:rPr>
        <w:t>月</w:t>
      </w:r>
      <w:r>
        <w:rPr>
          <w:rFonts w:hint="eastAsia" w:eastAsia="仿宋_GB2312"/>
          <w:color w:val="auto"/>
          <w:sz w:val="32"/>
          <w:szCs w:val="32"/>
          <w:lang w:val="en-US" w:eastAsia="zh-CN"/>
        </w:rPr>
        <w:t>10</w:t>
      </w:r>
      <w:r>
        <w:rPr>
          <w:rFonts w:eastAsia="仿宋_GB2312"/>
          <w:color w:val="auto"/>
          <w:sz w:val="32"/>
          <w:szCs w:val="32"/>
        </w:rPr>
        <w:t>日</w:t>
      </w:r>
    </w:p>
    <w:p w14:paraId="2F65DB7E">
      <w:pPr>
        <w:pStyle w:val="11"/>
        <w:spacing w:line="600" w:lineRule="exact"/>
        <w:rPr>
          <w:color w:val="auto"/>
          <w:highlight w:val="yellow"/>
        </w:rPr>
      </w:pPr>
    </w:p>
    <w:p w14:paraId="55B8DEFA">
      <w:pPr>
        <w:rPr>
          <w:color w:val="auto"/>
        </w:rPr>
      </w:pPr>
    </w:p>
    <w:p w14:paraId="4B8E0C2C">
      <w:pPr>
        <w:pStyle w:val="11"/>
        <w:rPr>
          <w:color w:val="auto"/>
        </w:rPr>
      </w:pPr>
    </w:p>
    <w:p w14:paraId="4E30CE93">
      <w:pPr>
        <w:spacing w:line="600" w:lineRule="exact"/>
        <w:rPr>
          <w:rFonts w:hint="eastAsia" w:ascii="Times New Roman" w:hAnsi="Times New Roman" w:eastAsia="仿宋_GB2312" w:cs="Times New Roman"/>
          <w:color w:val="auto"/>
          <w:w w:val="89"/>
          <w:sz w:val="32"/>
          <w:szCs w:val="32"/>
          <w:lang w:eastAsia="zh-CN"/>
        </w:rPr>
      </w:pPr>
    </w:p>
    <w:p w14:paraId="56E6C2FC">
      <w:pPr>
        <w:spacing w:line="600" w:lineRule="exact"/>
        <w:rPr>
          <w:rFonts w:hint="eastAsia" w:ascii="Times New Roman" w:hAnsi="Times New Roman" w:eastAsia="仿宋_GB2312" w:cs="Times New Roman"/>
          <w:color w:val="auto"/>
          <w:w w:val="89"/>
          <w:sz w:val="32"/>
          <w:szCs w:val="32"/>
          <w:lang w:eastAsia="zh-CN"/>
        </w:rPr>
      </w:pPr>
    </w:p>
    <w:p w14:paraId="39976B2D">
      <w:pPr>
        <w:spacing w:line="600" w:lineRule="exact"/>
        <w:rPr>
          <w:rFonts w:hint="eastAsia" w:ascii="Times New Roman" w:hAnsi="Times New Roman" w:eastAsia="仿宋_GB2312" w:cs="Times New Roman"/>
          <w:color w:val="auto"/>
          <w:w w:val="89"/>
          <w:sz w:val="32"/>
          <w:szCs w:val="32"/>
          <w:lang w:eastAsia="zh-CN"/>
        </w:rPr>
      </w:pPr>
    </w:p>
    <w:p w14:paraId="2AD1F7F2">
      <w:pPr>
        <w:spacing w:line="600" w:lineRule="exact"/>
        <w:rPr>
          <w:rFonts w:hint="eastAsia" w:ascii="Times New Roman" w:hAnsi="Times New Roman" w:eastAsia="仿宋_GB2312" w:cs="Times New Roman"/>
          <w:color w:val="auto"/>
          <w:w w:val="89"/>
          <w:sz w:val="32"/>
          <w:szCs w:val="32"/>
          <w:lang w:eastAsia="zh-CN"/>
        </w:rPr>
      </w:pPr>
    </w:p>
    <w:p w14:paraId="43E84123">
      <w:pPr>
        <w:spacing w:line="600" w:lineRule="exact"/>
        <w:rPr>
          <w:rFonts w:hint="eastAsia" w:ascii="Times New Roman" w:hAnsi="Times New Roman" w:eastAsia="仿宋_GB2312" w:cs="Times New Roman"/>
          <w:color w:val="auto"/>
          <w:w w:val="89"/>
          <w:sz w:val="32"/>
          <w:szCs w:val="32"/>
          <w:lang w:eastAsia="zh-CN"/>
        </w:rPr>
      </w:pPr>
    </w:p>
    <w:p w14:paraId="62DFB7A7">
      <w:pPr>
        <w:spacing w:line="600" w:lineRule="exact"/>
        <w:rPr>
          <w:rFonts w:hint="eastAsia" w:ascii="Times New Roman" w:hAnsi="Times New Roman" w:eastAsia="仿宋_GB2312" w:cs="Times New Roman"/>
          <w:color w:val="auto"/>
          <w:w w:val="89"/>
          <w:sz w:val="32"/>
          <w:szCs w:val="32"/>
          <w:lang w:eastAsia="zh-CN"/>
        </w:rPr>
      </w:pPr>
    </w:p>
    <w:p w14:paraId="0BF981FC">
      <w:pPr>
        <w:spacing w:line="600" w:lineRule="exact"/>
        <w:rPr>
          <w:rFonts w:hint="eastAsia" w:ascii="Times New Roman" w:hAnsi="Times New Roman" w:eastAsia="仿宋_GB2312" w:cs="Times New Roman"/>
          <w:color w:val="auto"/>
          <w:w w:val="89"/>
          <w:sz w:val="32"/>
          <w:szCs w:val="32"/>
          <w:lang w:eastAsia="zh-CN"/>
        </w:rPr>
      </w:pPr>
    </w:p>
    <w:p w14:paraId="7774F607">
      <w:pPr>
        <w:spacing w:line="600" w:lineRule="exact"/>
        <w:rPr>
          <w:rFonts w:hint="eastAsia" w:ascii="Times New Roman" w:hAnsi="Times New Roman" w:eastAsia="仿宋_GB2312" w:cs="Times New Roman"/>
          <w:color w:val="auto"/>
          <w:w w:val="89"/>
          <w:sz w:val="32"/>
          <w:szCs w:val="32"/>
          <w:lang w:eastAsia="zh-CN"/>
        </w:rPr>
      </w:pPr>
    </w:p>
    <w:p w14:paraId="41C5B2CF">
      <w:pPr>
        <w:spacing w:line="600" w:lineRule="exact"/>
        <w:rPr>
          <w:rFonts w:eastAsia="仿宋"/>
          <w:color w:val="auto"/>
          <w:sz w:val="32"/>
          <w:szCs w:val="32"/>
        </w:rPr>
      </w:pPr>
      <w:bookmarkStart w:id="8" w:name="_GoBack"/>
      <w:bookmarkEnd w:id="8"/>
      <w:r>
        <w:rPr>
          <w:rFonts w:hint="eastAsia" w:ascii="Times New Roman" w:hAnsi="Times New Roman" w:eastAsia="仿宋_GB2312" w:cs="Times New Roman"/>
          <w:color w:val="auto"/>
          <w:w w:val="89"/>
          <w:sz w:val="32"/>
          <w:szCs w:val="32"/>
          <w:lang w:eastAsia="zh-CN"/>
        </w:rPr>
        <w:t>主办：环</w:t>
      </w:r>
      <w:r>
        <w:rPr>
          <w:rFonts w:hint="eastAsia" w:eastAsia="仿宋_GB2312"/>
          <w:color w:val="auto"/>
          <w:w w:val="89"/>
          <w:sz w:val="32"/>
          <w:szCs w:val="32"/>
          <w:lang w:eastAsia="zh-CN"/>
        </w:rPr>
        <w:t>境影响评价与排放管理股</w:t>
      </w:r>
      <w:r>
        <w:rPr>
          <w:rFonts w:hint="eastAsia" w:eastAsia="仿宋_GB2312"/>
          <w:color w:val="auto"/>
          <w:w w:val="89"/>
          <w:sz w:val="32"/>
          <w:szCs w:val="32"/>
          <w:lang w:val="en-US" w:eastAsia="zh-CN"/>
        </w:rPr>
        <w:t xml:space="preserve">  </w:t>
      </w:r>
      <w:r>
        <w:rPr>
          <w:rFonts w:hint="eastAsia" w:eastAsia="仿宋_GB2312"/>
          <w:color w:val="auto"/>
          <w:w w:val="89"/>
          <w:sz w:val="32"/>
          <w:szCs w:val="32"/>
          <w:lang w:eastAsia="zh-CN"/>
        </w:rPr>
        <w:t>督办：环境影响评价与排放管理股</w:t>
      </w:r>
      <w:r>
        <w:rPr>
          <w:rFonts w:eastAsia="仿宋"/>
          <w:color w:val="auto"/>
          <w:sz w:val="32"/>
          <w:szCs w:val="32"/>
        </w:rPr>
        <mc:AlternateContent>
          <mc:Choice Requires="wps">
            <w:drawing>
              <wp:anchor distT="0" distB="0" distL="114300" distR="114300" simplePos="0" relativeHeight="251659264" behindDoc="0" locked="0" layoutInCell="1" allowOverlap="1">
                <wp:simplePos x="0" y="0"/>
                <wp:positionH relativeFrom="column">
                  <wp:posOffset>-47625</wp:posOffset>
                </wp:positionH>
                <wp:positionV relativeFrom="paragraph">
                  <wp:posOffset>59690</wp:posOffset>
                </wp:positionV>
                <wp:extent cx="5715000" cy="0"/>
                <wp:effectExtent l="0" t="5080" r="0" b="4445"/>
                <wp:wrapNone/>
                <wp:docPr id="3" name="Line 12"/>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2" o:spid="_x0000_s1026" o:spt="20" style="position:absolute;left:0pt;margin-left:-3.75pt;margin-top:4.7pt;height:0pt;width:450pt;z-index:251659264;mso-width-relative:page;mso-height-relative:page;" filled="f" stroked="t" coordsize="21600,21600" o:gfxdata="UEsDBAoAAAAAAIdO4kAAAAAAAAAAAAAAAAAEAAAAZHJzL1BLAwQUAAAACACHTuJARIkkwNMAAAAG&#10;AQAADwAAAGRycy9kb3ducmV2LnhtbE2Oy07DMBBF90j8gzVIbKrWbni1IU4XQHZsKCC203hIIuJx&#10;GrsP+HoGNrA8ulf3nmJ19L3a0xi7wBbmMwOKuA6u48bCy3M1XYCKCdlhH5gsfFKEVXl6UmDuwoGf&#10;aL9OjZIRjjlaaFMacq1j3ZLHOAsDsWTvYfSYBMdGuxEPMu57nRlzrT12LA8tDnTXUv2x3nkLsXql&#10;bfU1qSfm7aIJlG3vHx/Q2vOzubkFleiY/srwoy/qUIrTJuzYRdVbmN5cSdPC8hKUxItlJrz5ZV0W&#10;+r9++Q1QSwMEFAAAAAgAh07iQIjKPmfgAQAA6AMAAA4AAABkcnMvZTJvRG9jLnhtbK1TTW/bMAy9&#10;D9h/EHRvbGfIPow4PTTrLsUWYNsPUCTaFqAviEqc/PtRcpp23SWH+SBTIvnI90St70/WsCNE1N51&#10;vFnUnIGTXmk3dPz3r8e7z5xhEk4J4x10/AzI7zfv362n0MLSj94oiIxAHLZT6PiYUmirCuUIVuDC&#10;B3Dk7H20ItE2DpWKYiJ0a6plXX+sJh9ViF4CIp1uZye/IMZbAH3fawlbLw8WXJpRIxiRiBKOOiDf&#10;lG77HmT60fcIiZmOE9NUVipC9j6v1WYt2iGKMGp5aUHc0sIbTlZoR0WvUFuRBDtE/Q+U1TJ69H1a&#10;SG+rmUhRhFg09Rttfo4iQOFCUmO4io7/D1Z+P+4i06rjHzhzwtKFP2kHrFlmaaaALUU8uF287DDs&#10;YuZ56qPNf2LATkXO81VOOCUm6XD1qVnVNSktn33VS2KImL6BtywbHTdUtAgojk+YqBiFPofkOsax&#10;qeNfVssVwQkau56um0wbqHV0Q8lFb7R61MbkDIzD/sFEdhT56suXKRHuX2G5yFbgOMcV1zwUIwj1&#10;1SmWzoFEcfQWeG7BguLMAD2dbBGgaJPQ5pZIKm1cToAymBeeWeNZ1WztvTrThRxC1MNIujSl5+yh&#10;ASjdX4Y1T9jrPdmvH+jm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ESJJMDTAAAABgEAAA8AAAAA&#10;AAAAAQAgAAAAIgAAAGRycy9kb3ducmV2LnhtbFBLAQIUABQAAAAIAIdO4kCIyj5n4AEAAOgDAAAO&#10;AAAAAAAAAAEAIAAAACIBAABkcnMvZTJvRG9jLnhtbFBLBQYAAAAABgAGAFkBAAB0BQAAAAA=&#10;">
                <v:fill on="f" focussize="0,0"/>
                <v:stroke color="#000000" joinstyle="round"/>
                <v:imagedata o:title=""/>
                <o:lock v:ext="edit" aspectratio="f"/>
              </v:line>
            </w:pict>
          </mc:Fallback>
        </mc:AlternateContent>
      </w:r>
    </w:p>
    <w:p w14:paraId="02700264">
      <w:pPr>
        <w:spacing w:line="600" w:lineRule="exact"/>
        <w:rPr>
          <w:rFonts w:eastAsia="仿宋"/>
          <w:color w:val="auto"/>
          <w:sz w:val="32"/>
          <w:szCs w:val="32"/>
        </w:rPr>
      </w:pPr>
      <w:r>
        <w:rPr>
          <w:rFonts w:eastAsia="仿宋_GB2312"/>
          <w:color w:val="auto"/>
          <w:sz w:val="32"/>
          <w:szCs w:val="32"/>
        </w:rPr>
        <w:t>抄送：</w:t>
      </w:r>
      <w:r>
        <w:rPr>
          <w:rFonts w:hint="eastAsia" w:eastAsia="仿宋_GB2312"/>
          <w:color w:val="auto"/>
          <w:sz w:val="32"/>
          <w:szCs w:val="32"/>
          <w:lang w:eastAsia="zh-CN"/>
        </w:rPr>
        <w:t>综合行政执法大队</w:t>
      </w:r>
      <w:r>
        <w:rPr>
          <w:rFonts w:eastAsia="仿宋_GB2312"/>
          <w:color w:val="auto"/>
          <w:sz w:val="32"/>
          <w:szCs w:val="32"/>
        </w:rPr>
        <w:t>、</w:t>
      </w:r>
      <w:r>
        <w:rPr>
          <w:rFonts w:hint="eastAsia" w:eastAsia="仿宋_GB2312"/>
          <w:color w:val="auto"/>
          <w:sz w:val="32"/>
          <w:szCs w:val="32"/>
          <w:lang w:val="en-US" w:eastAsia="zh-CN"/>
        </w:rPr>
        <w:t>王庄镇</w:t>
      </w:r>
      <w:r>
        <w:rPr>
          <w:rFonts w:hint="eastAsia" w:eastAsia="仿宋_GB2312"/>
          <w:color w:val="auto"/>
          <w:sz w:val="32"/>
          <w:szCs w:val="32"/>
          <w:lang w:eastAsia="zh-CN"/>
        </w:rPr>
        <w:t>环保所</w:t>
      </w:r>
      <w:r>
        <w:rPr>
          <w:rFonts w:eastAsia="仿宋"/>
          <w:color w:val="auto"/>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48260</wp:posOffset>
                </wp:positionV>
                <wp:extent cx="5715000" cy="0"/>
                <wp:effectExtent l="0" t="5080" r="0" b="4445"/>
                <wp:wrapNone/>
                <wp:docPr id="5" name="自选图形 3"/>
                <wp:cNvGraphicFramePr/>
                <a:graphic xmlns:a="http://schemas.openxmlformats.org/drawingml/2006/main">
                  <a:graphicData uri="http://schemas.microsoft.com/office/word/2010/wordprocessingShape">
                    <wps:wsp>
                      <wps:cNvCnPr/>
                      <wps:spPr>
                        <a:xfrm>
                          <a:off x="0" y="0"/>
                          <a:ext cx="5715000"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3" o:spid="_x0000_s1026" o:spt="32" type="#_x0000_t32" style="position:absolute;left:0pt;margin-left:-3.75pt;margin-top:3.8pt;height:0pt;width:450pt;z-index:251660288;mso-width-relative:page;mso-height-relative:page;" filled="f" stroked="t" coordsize="21600,21600" o:gfxdata="UEsDBAoAAAAAAIdO4kAAAAAAAAAAAAAAAAAEAAAAZHJzL1BLAwQUAAAACACHTuJA9Pct3tMAAAAG&#10;AQAADwAAAGRycy9kb3ducmV2LnhtbE2Oy2rDMBBF94X+g5hCNyWRbMjLtRxKoYsu84BuFWtqu7VG&#10;xpLjNF/fSTbJ8nAv9558fXKtOGIfGk8akqkCgVR621ClYb/7mCxBhGjImtYTavjDAOvi8SE3mfUj&#10;bfC4jZXgEQqZ0VDH2GVShrJGZ8LUd0icffvemcjYV9L2ZuRx18pUqbl0piF+qE2H7zWWv9vBacAw&#10;zBL1tnLV/vM8vnyl55+x22n9/JSoVxART/FWhos+q0PBTgc/kA2i1TBZzLipYTEHwfFylTIfriyL&#10;XN7rF/9QSwMEFAAAAAgAh07iQKfXs1P6AQAA8QMAAA4AAABkcnMvZTJvRG9jLnhtbK1TzY7TMBC+&#10;I/EOlu80aVGBjZruoWW5IKgEPMDUcRJL/pPH27Q3bohn4MaRd4C3WWl5C8ZOt7sslx7IwZmxZ76Z&#10;7/N4cbk3mu1kQOVszaeTkjNphWuU7Wr+6ePVs1ecYQTbgHZW1vwgkV8unz5ZDL6SM9c73cjACMRi&#10;Nfia9zH6qihQ9NIATpyXlg5bFwxEckNXNAEGQje6mJXli2JwofHBCYlIu+vxkB8RwzmArm2VkGsn&#10;ro20cUQNUkMkStgrj3yZu21bKeL7tkUZma45MY15pSJkb9NaLBdQdQF8r8SxBTinhUecDChLRU9Q&#10;a4jAroP6B8ooERy6Nk6EM8VIJCtCLKblI20+9OBl5kJSoz+Jjv8PVrzbbQJTTc3nnFkwdOG3X378&#10;/vz15tuvm5/f2fOk0OCxosCV3YSjh34TEt19G0z6ExG2z6oeTqrKfWSCNucvp/OyJMHF3Vlxn+gD&#10;xjfSGZaMmmMMoLo+rpy1dHcuTLOqsHuLkUpT4l1CqqotG2p+MZ9R7wJoFluaATKNJz5ou5yLTqvm&#10;SmmdMjB025UObAdpHvKXCBLuX2GpyBqwH+Py0TgpvYTmtW1YPHhSytID4akFIxvOtKT3lCwChCqC&#10;0udEUmltU4LM03rkmRQfNU7W1jWHLH2RPJqE3PFxatOoPfTJfvhS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9Pct3tMAAAAGAQAADwAAAAAAAAABACAAAAAiAAAAZHJzL2Rvd25yZXYueG1sUEsB&#10;AhQAFAAAAAgAh07iQKfXs1P6AQAA8QMAAA4AAAAAAAAAAQAgAAAAIgEAAGRycy9lMm9Eb2MueG1s&#10;UEsFBgAAAAAGAAYAWQEAAI4FAAAAAA==&#10;">
                <v:fill on="f" focussize="0,0"/>
                <v:stroke color="#000000" joinstyle="round"/>
                <v:imagedata o:title=""/>
                <o:lock v:ext="edit" aspectratio="f"/>
              </v:shape>
            </w:pict>
          </mc:Fallback>
        </mc:AlternateContent>
      </w:r>
      <w:r>
        <w:rPr>
          <w:rFonts w:eastAsia="仿宋"/>
          <w:color w:val="auto"/>
          <w:sz w:val="32"/>
          <w:szCs w:val="32"/>
        </w:rPr>
        <w:t>。</w:t>
      </w:r>
    </w:p>
    <w:p w14:paraId="714CD007">
      <w:pPr>
        <w:spacing w:line="600" w:lineRule="exact"/>
        <w:rPr>
          <w:rFonts w:hint="eastAsia"/>
          <w:color w:val="auto"/>
          <w:lang w:eastAsia="zh-CN"/>
        </w:rPr>
      </w:pPr>
      <w:r>
        <w:rPr>
          <w:rFonts w:eastAsia="仿宋"/>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-33020</wp:posOffset>
                </wp:positionH>
                <wp:positionV relativeFrom="paragraph">
                  <wp:posOffset>434340</wp:posOffset>
                </wp:positionV>
                <wp:extent cx="5715000" cy="0"/>
                <wp:effectExtent l="0" t="5080" r="0" b="4445"/>
                <wp:wrapNone/>
                <wp:docPr id="4" name="Line 13"/>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3" o:spid="_x0000_s1026" o:spt="20" style="position:absolute;left:0pt;margin-left:-2.6pt;margin-top:34.2pt;height:0pt;width:450pt;z-index:251661312;mso-width-relative:page;mso-height-relative:page;" filled="f" stroked="t" coordsize="21600,21600" o:gfxdata="UEsDBAoAAAAAAIdO4kAAAAAAAAAAAAAAAAAEAAAAZHJzL1BLAwQUAAAACACHTuJA37pKFtYAAAAI&#10;AQAADwAAAGRycy9kb3ducmV2LnhtbE2PvU7DQBCEeyTe4bRINFFyjgmRMT6nANylIYBoN77FtvDt&#10;Ob7LDzx9FlFAuTOj2W+K1cn16kBj6DwbmM8SUMS1tx03Bl5fqmkGKkRki71nMvBFAVbl5UWBufVH&#10;fqbDJjZKSjjkaKCNcci1DnVLDsPMD8TiffjRYZRzbLQd8Sjlrtdpkiy1w47lQ4sDPbRUf272zkCo&#10;3mhXfU/qSfJ+03hKd4/rJzTm+mqe3IOKdIp/YfjBF3QohWnr92yD6g1Mb1NJGlhmC1DiZ3cLmbL9&#10;FXRZ6P8DyjNQSwMEFAAAAAgAh07iQOiin/bhAQAA6AMAAA4AAABkcnMvZTJvRG9jLnhtbK1Ty47b&#10;MAy8F+g/CLo3dtKmDyPOHjbdXhZtgG0/QJFoW4BeEJU4+ftSsjfdbi851AeZEskhZ0Rt7s7WsBNE&#10;1N61fLmoOQMnvdKub/mvnw/vPnOGSTgljHfQ8gsgv9u+fbMZQwMrP3ijIDICcdiMoeVDSqGpKpQD&#10;WIELH8CRs/PRikTb2FcqipHQralWdf2xGn1UIXoJiHS6m5x8Roy3APqu0xJ2Xh4tuDShRjAiESUc&#10;dEC+Ld12Hcj0o+sQEjMtJ6aprFSE7ENeq+1GNH0UYdBybkHc0sIrTlZoR0WvUDuRBDtG/Q+U1TJ6&#10;9F1aSG+riUhRhFgs61faPA0iQOFCUmO4io7/D1Z+P+0j06rlHzhzwtKFP2oHbPk+SzMGbCji3u3j&#10;vMOwj5nnuYs2/4kBOxc5L1c54ZyYpMP1p+W6rklp+eyr/iSGiOkbeMuy0XJDRYuA4vSIiYpR6HNI&#10;rmMcG1v+Zb1aE5ygsevousm0gVpH15dc9EarB21MzsDYH+5NZCeRr758mRLh/hWWi+wEDlNccU1D&#10;MYBQX51i6RJIFEdvgecWLCjODNDTyRYBiiYJbW6JpNLG5QQogznzzBpPqmbr4NWFLuQYou4H0mVZ&#10;es4eGoDS/TysecJe7sl++UC3v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fukoW1gAAAAgBAAAP&#10;AAAAAAAAAAEAIAAAACIAAABkcnMvZG93bnJldi54bWxQSwECFAAUAAAACACHTuJA6KKf9uEBAADo&#10;AwAADgAAAAAAAAABACAAAAAlAQAAZHJzL2Uyb0RvYy54bWxQSwUGAAAAAAYABgBZAQAAeAUAAAAA&#10;">
                <v:fill on="f" focussize="0,0"/>
                <v:stroke color="#000000" joinstyle="round"/>
                <v:imagedata o:title=""/>
                <o:lock v:ext="edit" aspectratio="f"/>
              </v:line>
            </w:pict>
          </mc:Fallback>
        </mc:AlternateContent>
      </w:r>
      <w:r>
        <w:rPr>
          <w:rFonts w:eastAsia="仿宋"/>
          <w:color w:val="auto"/>
          <w:sz w:val="32"/>
          <w:szCs w:val="32"/>
        </w:rPr>
        <w:t xml:space="preserve">安阳市生态环境局滑县分局办公室 </w:t>
      </w:r>
      <w:r>
        <w:rPr>
          <w:rFonts w:eastAsia="仿宋"/>
          <w:color w:val="auto"/>
          <w:sz w:val="32"/>
          <w:szCs w:val="32"/>
        </w:rPr>
        <mc:AlternateContent>
          <mc:Choice Requires="wps">
            <w:drawing>
              <wp:anchor distT="0" distB="0" distL="114300" distR="114300" simplePos="0" relativeHeight="251661312" behindDoc="0" locked="0" layoutInCell="1" allowOverlap="1">
                <wp:simplePos x="0" y="0"/>
                <wp:positionH relativeFrom="column">
                  <wp:posOffset>-50800</wp:posOffset>
                </wp:positionH>
                <wp:positionV relativeFrom="paragraph">
                  <wp:posOffset>50800</wp:posOffset>
                </wp:positionV>
                <wp:extent cx="5715000" cy="0"/>
                <wp:effectExtent l="0" t="5080" r="0" b="4445"/>
                <wp:wrapNone/>
                <wp:docPr id="2" name="Line 11"/>
                <wp:cNvGraphicFramePr/>
                <a:graphic xmlns:a="http://schemas.openxmlformats.org/drawingml/2006/main">
                  <a:graphicData uri="http://schemas.microsoft.com/office/word/2010/wordprocessingShape">
                    <wps:wsp>
                      <wps:cNvCnPr/>
                      <wps:spPr>
                        <a:xfrm>
                          <a:off x="0" y="0"/>
                          <a:ext cx="57150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Line 11" o:spid="_x0000_s1026" o:spt="20" style="position:absolute;left:0pt;margin-left:-4pt;margin-top:4pt;height:0pt;width:450pt;z-index:251661312;mso-width-relative:page;mso-height-relative:page;" filled="f" stroked="t" coordsize="21600,21600" o:gfxdata="UEsDBAoAAAAAAIdO4kAAAAAAAAAAAAAAAAAEAAAAZHJzL1BLAwQUAAAACACHTuJAsO4Cj9MAAAAG&#10;AQAADwAAAGRycy9kb3ducmV2LnhtbE2PT0/DMAzF70h8h8hIXKYtWZFQKU13AHrjwhji6jWmrWic&#10;rsn+wKfH4wIn++lZz79Xrk5+UAeaYh/YwnJhQBE3wfXcWti81vMcVEzIDofAZOGLIqyqy4sSCxeO&#10;/EKHdWqVhHAs0EKX0lhoHZuOPMZFGInF+wiTxyRyarWb8CjhftCZMbfaY8/yocORHjpqPtd7byHW&#10;b7Srv2fNzLzftIGy3ePzE1p7fbU096ASndLfMZzxBR0qYdqGPbuoBgvzXKokC+chdn6XybL91boq&#10;9X/86gdQSwMEFAAAAAgAh07iQFnG10LgAQAA6AMAAA4AAABkcnMvZTJvRG9jLnhtbK1TTW/bMAy9&#10;D+h/EHRvbAfIPow4PTTrLsUWYNsPUCTaFqAviEqc/PtRcpq13SWH+SBTIvXI90itH07WsCNE1N51&#10;vFnUnIGTXmk3dPz3r6f7z5xhEk4J4x10/AzIHzZ3H9ZTaGHpR28UREYgDtspdHxMKbRVhXIEK3Dh&#10;Azhy9j5akWgbh0pFMRG6NdWyrj9Wk48qRC8BkU63s5NfEOMtgL7vtYStlwcLLs2oEYxIRAlHHZBv&#10;SrV9DzL96HuExEzHiWkqKyUhe5/XarMW7RBFGLW8lCBuKeEdJyu0o6RXqK1Igh2i/gfKahk9+j4t&#10;pLfVTKQoQiya+p02P0cRoHAhqTFcRcf/Byu/H3eRadXxJWdOWGr4s3bAmiZLMwVsKeLR7eJlh2EX&#10;M89TH23+EwN2KnKer3LCKTFJh6tPzaquSWn54qv+XgwR0zfwlmWj44aSFgHF8RkTJaPQl5Ccxzg2&#10;dfzLarkiOEFj11O7ybSBSkc3lLvojVZP2ph8A+OwfzSRHUVuffkyJcJ9E5aTbAWOc1xxzUMxglBf&#10;nWLpHEgUR2+B5xIsKM4M0NPJFgGKNgltbomk1MblC1AG88Izazyrmq29V2dqyCFEPYykS2lDlT00&#10;AKX6y7DmCXu9J/v1A938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LDuAo/TAAAABgEAAA8AAAAA&#10;AAAAAQAgAAAAIgAAAGRycy9kb3ducmV2LnhtbFBLAQIUABQAAAAIAIdO4kBZxtdC4AEAAOgDAAAO&#10;AAAAAAAAAAEAIAAAACIBAABkcnMvZTJvRG9jLnhtbFBLBQYAAAAABgAGAFkBAAB0BQAAAAA=&#10;">
                <v:fill on="f" focussize="0,0"/>
                <v:stroke color="#000000" joinstyle="round"/>
                <v:imagedata o:title=""/>
                <o:lock v:ext="edit" aspectratio="f"/>
              </v:line>
            </w:pict>
          </mc:Fallback>
        </mc:AlternateContent>
      </w:r>
      <w:r>
        <w:rPr>
          <w:rFonts w:hint="eastAsia" w:eastAsia="仿宋"/>
          <w:color w:val="auto"/>
          <w:sz w:val="32"/>
          <w:szCs w:val="32"/>
        </w:rPr>
        <w:t xml:space="preserve">    </w:t>
      </w:r>
      <w:r>
        <w:rPr>
          <w:rFonts w:eastAsia="仿宋"/>
          <w:color w:val="auto"/>
          <w:sz w:val="32"/>
          <w:szCs w:val="32"/>
        </w:rPr>
        <w:t>202</w:t>
      </w:r>
      <w:r>
        <w:rPr>
          <w:rFonts w:hint="eastAsia" w:eastAsia="仿宋"/>
          <w:color w:val="auto"/>
          <w:sz w:val="32"/>
          <w:szCs w:val="32"/>
          <w:lang w:val="en-US" w:eastAsia="zh-CN"/>
        </w:rPr>
        <w:t>6</w:t>
      </w:r>
      <w:r>
        <w:rPr>
          <w:rFonts w:eastAsia="仿宋"/>
          <w:color w:val="auto"/>
          <w:sz w:val="32"/>
          <w:szCs w:val="32"/>
        </w:rPr>
        <w:t>年</w:t>
      </w:r>
      <w:r>
        <w:rPr>
          <w:rFonts w:hint="eastAsia" w:eastAsia="仿宋"/>
          <w:color w:val="auto"/>
          <w:sz w:val="32"/>
          <w:szCs w:val="32"/>
          <w:lang w:val="en-US" w:eastAsia="zh-CN"/>
        </w:rPr>
        <w:t>10</w:t>
      </w:r>
      <w:r>
        <w:rPr>
          <w:rFonts w:eastAsia="仿宋"/>
          <w:color w:val="auto"/>
          <w:sz w:val="32"/>
          <w:szCs w:val="32"/>
        </w:rPr>
        <w:t>月</w:t>
      </w:r>
      <w:r>
        <w:rPr>
          <w:rFonts w:hint="eastAsia" w:eastAsia="仿宋"/>
          <w:color w:val="auto"/>
          <w:sz w:val="32"/>
          <w:szCs w:val="32"/>
          <w:lang w:val="en-US" w:eastAsia="zh-CN"/>
        </w:rPr>
        <w:t>10</w:t>
      </w:r>
      <w:r>
        <w:rPr>
          <w:rFonts w:eastAsia="仿宋"/>
          <w:color w:val="auto"/>
          <w:sz w:val="32"/>
          <w:szCs w:val="32"/>
        </w:rPr>
        <w:t>日印发</w:t>
      </w:r>
    </w:p>
    <w:sectPr>
      <w:headerReference r:id="rId3" w:type="default"/>
      <w:footerReference r:id="rId4" w:type="default"/>
      <w:pgSz w:w="11906" w:h="16838"/>
      <w:pgMar w:top="1440" w:right="1588" w:bottom="1440" w:left="1588" w:header="851" w:footer="992"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70EC3978-A128-4EF1-9ABC-8AF1BA64EB4D}"/>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2" w:fontKey="{1C8CA4EE-4F9C-408B-9612-6C442524AD07}"/>
  </w:font>
  <w:font w:name="Helvetica">
    <w:altName w:val="Arial"/>
    <w:panose1 w:val="00000000000000000000"/>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EE890">
    <w:pPr>
      <w:pStyle w:val="13"/>
      <w:framePr w:wrap="around" w:vAnchor="text" w:hAnchor="margin" w:xAlign="outside" w:y="1"/>
      <w:rPr>
        <w:rStyle w:val="22"/>
        <w:rFonts w:ascii="宋体"/>
        <w:sz w:val="28"/>
        <w:szCs w:val="28"/>
      </w:rPr>
    </w:pPr>
    <w:r>
      <w:rPr>
        <w:rFonts w:ascii="宋体" w:hAnsi="宋体"/>
        <w:sz w:val="28"/>
        <w:szCs w:val="28"/>
      </w:rPr>
      <w:fldChar w:fldCharType="begin"/>
    </w:r>
    <w:r>
      <w:rPr>
        <w:rStyle w:val="22"/>
        <w:rFonts w:ascii="宋体" w:hAnsi="宋体"/>
        <w:sz w:val="28"/>
        <w:szCs w:val="28"/>
      </w:rPr>
      <w:instrText xml:space="preserve">PAGE  </w:instrText>
    </w:r>
    <w:r>
      <w:rPr>
        <w:rFonts w:ascii="宋体" w:hAnsi="宋体"/>
        <w:sz w:val="28"/>
        <w:szCs w:val="28"/>
      </w:rPr>
      <w:fldChar w:fldCharType="separate"/>
    </w:r>
    <w:r>
      <w:rPr>
        <w:rStyle w:val="22"/>
        <w:rFonts w:ascii="宋体" w:hAnsi="宋体"/>
        <w:sz w:val="28"/>
        <w:szCs w:val="28"/>
      </w:rPr>
      <w:t>- 5 -</w:t>
    </w:r>
    <w:r>
      <w:rPr>
        <w:rFonts w:ascii="宋体" w:hAnsi="宋体"/>
        <w:sz w:val="28"/>
        <w:szCs w:val="28"/>
      </w:rPr>
      <w:fldChar w:fldCharType="end"/>
    </w:r>
  </w:p>
  <w:p w14:paraId="3237E68B">
    <w:pPr>
      <w:pStyle w:val="13"/>
      <w:ind w:right="360" w:firstLine="360"/>
    </w:pPr>
    <w:r>
      <mc:AlternateContent>
        <mc:Choice Requires="wps">
          <w:drawing>
            <wp:anchor distT="0" distB="0" distL="114300" distR="114300" simplePos="0" relativeHeight="251662336" behindDoc="0" locked="0" layoutInCell="1" allowOverlap="1">
              <wp:simplePos x="0" y="0"/>
              <wp:positionH relativeFrom="margin">
                <wp:posOffset>114300</wp:posOffset>
              </wp:positionH>
              <wp:positionV relativeFrom="paragraph">
                <wp:posOffset>394335</wp:posOffset>
              </wp:positionV>
              <wp:extent cx="114935" cy="162560"/>
              <wp:effectExtent l="0" t="0" r="0" b="0"/>
              <wp:wrapNone/>
              <wp:docPr id="6" name="文本框3"/>
              <wp:cNvGraphicFramePr/>
              <a:graphic xmlns:a="http://schemas.openxmlformats.org/drawingml/2006/main">
                <a:graphicData uri="http://schemas.microsoft.com/office/word/2010/wordprocessingShape">
                  <wps:wsp>
                    <wps:cNvSpPr txBox="1"/>
                    <wps:spPr>
                      <a:xfrm>
                        <a:off x="0" y="0"/>
                        <a:ext cx="114935" cy="162560"/>
                      </a:xfrm>
                      <a:prstGeom prst="rect">
                        <a:avLst/>
                      </a:prstGeom>
                      <a:noFill/>
                      <a:ln>
                        <a:noFill/>
                      </a:ln>
                      <a:effectLst/>
                    </wps:spPr>
                    <wps:txbx>
                      <w:txbxContent>
                        <w:p w14:paraId="0C528783">
                          <w:pPr>
                            <w:rPr>
                              <w:szCs w:val="28"/>
                            </w:rPr>
                          </w:pPr>
                        </w:p>
                      </w:txbxContent>
                    </wps:txbx>
                    <wps:bodyPr wrap="none" lIns="0" tIns="0" rIns="0" bIns="0" upright="1">
                      <a:spAutoFit/>
                    </wps:bodyPr>
                  </wps:wsp>
                </a:graphicData>
              </a:graphic>
            </wp:anchor>
          </w:drawing>
        </mc:Choice>
        <mc:Fallback>
          <w:pict>
            <v:shape id="文本框3" o:spid="_x0000_s1026" o:spt="202" type="#_x0000_t202" style="position:absolute;left:0pt;margin-left:9pt;margin-top:31.05pt;height:12.8pt;width:9.05pt;mso-position-horizontal-relative:margin;mso-wrap-style:none;z-index:251662336;mso-width-relative:page;mso-height-relative:page;" filled="f" stroked="f" coordsize="21600,21600" o:gfxdata="UEsDBAoAAAAAAIdO4kAAAAAAAAAAAAAAAAAEAAAAZHJzL1BLAwQUAAAACACHTuJAaE9s3NMAAAAH&#10;AQAADwAAAGRycy9kb3ducmV2LnhtbE2PwWrDMBBE74X8g9hCb43sFGzjWM4hkEtvTUuhN8XaWKbW&#10;ykiKY/99t6f2NAyzzLxtDosbxYwhDp4U5NsMBFLnzUC9go/303MFIiZNRo+eUMGKEQ7t5qHRtfF3&#10;esP5nHrBJRRrrcCmNNVSxs6i03HrJyTOrj44ndiGXpqg71zuRrnLskI6PRAvWD3h0WL3fb45BeXy&#10;6XGKeMSv69wFO6zV+Loq9fSYZ3sQCZf0dwy/+IwOLTNd/I1MFCP7il9JCopdDoLzl4L1oqAqS5Bt&#10;I//ztz9QSwMEFAAAAAgAh07iQNgpRSPUAQAApAMAAA4AAABkcnMvZTJvRG9jLnhtbK1TS27bMBDd&#10;F8gdCO5rWU5iNILloIWRokDRFkh6AJoiLQL8gUNb8gXaG3TVTfc9l8+RISU5bbrJohtqOBw+vvdm&#10;tLrtjSYHEUA5W9NyNqdEWO4aZXc1/fpw9/oNJRCZbZh2VtT0KIDeri9erTpfiYVrnW5EIAhioep8&#10;TdsYfVUUwFthGMycFxYPpQuGRdyGXdEE1iG60cViPl8WnQuND44LAMxuhkM6IoaXADopFRcbx/dG&#10;2DigBqFZREnQKg90ndlKKXj8LCWISHRNUWnMKz6C8TatxXrFql1gvlV8pMBeQuGZJsOUxUfPUBsW&#10;GdkH9Q+UUTw4cDLOuDPFICQ7girK+TNv7lvmRdaCVoM/mw7/D5Z/OnwJRDU1XVJimcGGn358P/38&#10;ffr17TK503mosOjeY1ns37keZ2bKAyaT6F4Gk74oh+A5ens8eyv6SHi6VF7dXF5TwvGoXC6ul9n7&#10;4umyDxDfC2dICmoasHXZUXb4CBGJYOlUkt6y7k5pndun7V8JLBwyIvd/vJ10DHxTFPttP4rbuuaI&#10;2jqcgZpaHHlK9AeLFqdxmYIwBdsp2Pugdi0SLTNL8G/3ESllpumFARZppw02LwsYBy1Nx5/7XPX0&#10;c60f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AAAAABkcnMvUEsBAhQAFAAAAAgAh07iQGhPbNzTAAAABwEAAA8AAAAAAAAAAQAgAAAAIgAA&#10;AGRycy9kb3ducmV2LnhtbFBLAQIUABQAAAAIAIdO4kDYKUUj1AEAAKQDAAAOAAAAAAAAAAEAIAAA&#10;ACIBAABkcnMvZTJvRG9jLnhtbFBLBQYAAAAABgAGAFkBAABoBQAAAAA=&#10;">
              <v:fill on="f" focussize="0,0"/>
              <v:stroke on="f"/>
              <v:imagedata o:title=""/>
              <o:lock v:ext="edit" aspectratio="f"/>
              <v:textbox inset="0mm,0mm,0mm,0mm" style="mso-fit-shape-to-text:t;">
                <w:txbxContent>
                  <w:p w14:paraId="0C528783">
                    <w:pPr>
                      <w:rPr>
                        <w:szCs w:val="28"/>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71009">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A216F0"/>
    <w:multiLevelType w:val="multilevel"/>
    <w:tmpl w:val="1DA216F0"/>
    <w:lvl w:ilvl="0" w:tentative="0">
      <w:start w:val="1"/>
      <w:numFmt w:val="chineseCountingThousand"/>
      <w:pStyle w:val="16"/>
      <w:lvlText w:val="第%1章　"/>
      <w:lvlJc w:val="left"/>
      <w:pPr>
        <w:tabs>
          <w:tab w:val="left" w:pos="1440"/>
        </w:tabs>
        <w:ind w:left="720" w:hanging="720"/>
      </w:pPr>
      <w:rPr>
        <w:rFonts w:hint="eastAsia"/>
        <w:sz w:val="32"/>
        <w:szCs w:val="32"/>
      </w:rPr>
    </w:lvl>
    <w:lvl w:ilvl="1" w:tentative="0">
      <w:start w:val="1"/>
      <w:numFmt w:val="lowerRoman"/>
      <w:lvlText w:val="(%2)"/>
      <w:lvlJc w:val="left"/>
      <w:pPr>
        <w:tabs>
          <w:tab w:val="left" w:pos="861"/>
        </w:tabs>
        <w:ind w:left="861" w:hanging="720"/>
      </w:pPr>
      <w:rPr>
        <w:rFonts w:hint="eastAsia"/>
      </w:rPr>
    </w:lvl>
    <w:lvl w:ilvl="2" w:tentative="0">
      <w:start w:val="1"/>
      <w:numFmt w:val="lowerLetter"/>
      <w:lvlText w:val="(%3)"/>
      <w:lvlJc w:val="left"/>
      <w:pPr>
        <w:tabs>
          <w:tab w:val="left" w:pos="1335"/>
        </w:tabs>
        <w:ind w:left="1335" w:hanging="495"/>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TrueTypeFonts/>
  <w:saveSubsetFonts/>
  <w:bordersDoNotSurroundHeader w:val="0"/>
  <w:bordersDoNotSurroundFooter w:val="0"/>
  <w:doNotTrackMove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xN2E3NzBjNWUyMGQyNjllMzdmZDlhNTNkMGIyNzMifQ=="/>
  </w:docVars>
  <w:rsids>
    <w:rsidRoot w:val="272649BD"/>
    <w:rsid w:val="00001834"/>
    <w:rsid w:val="00005C5F"/>
    <w:rsid w:val="000066C0"/>
    <w:rsid w:val="00014B9C"/>
    <w:rsid w:val="000152A8"/>
    <w:rsid w:val="000154CE"/>
    <w:rsid w:val="00015B86"/>
    <w:rsid w:val="00015ED9"/>
    <w:rsid w:val="00037F83"/>
    <w:rsid w:val="00047BA4"/>
    <w:rsid w:val="00060AC0"/>
    <w:rsid w:val="00066EE1"/>
    <w:rsid w:val="00094068"/>
    <w:rsid w:val="00095AD9"/>
    <w:rsid w:val="000B0518"/>
    <w:rsid w:val="000C6A02"/>
    <w:rsid w:val="000D1CA4"/>
    <w:rsid w:val="000E3959"/>
    <w:rsid w:val="000E58BC"/>
    <w:rsid w:val="000E7112"/>
    <w:rsid w:val="00106F15"/>
    <w:rsid w:val="001164EE"/>
    <w:rsid w:val="00134826"/>
    <w:rsid w:val="001427E8"/>
    <w:rsid w:val="00157D23"/>
    <w:rsid w:val="00182063"/>
    <w:rsid w:val="00191279"/>
    <w:rsid w:val="0019790E"/>
    <w:rsid w:val="00197D47"/>
    <w:rsid w:val="001B31C8"/>
    <w:rsid w:val="001C566A"/>
    <w:rsid w:val="001E5308"/>
    <w:rsid w:val="001E657F"/>
    <w:rsid w:val="00225A75"/>
    <w:rsid w:val="00241B9B"/>
    <w:rsid w:val="0027585D"/>
    <w:rsid w:val="00280395"/>
    <w:rsid w:val="00297081"/>
    <w:rsid w:val="002A10A0"/>
    <w:rsid w:val="002E06CC"/>
    <w:rsid w:val="002F6FEB"/>
    <w:rsid w:val="0030509C"/>
    <w:rsid w:val="00331433"/>
    <w:rsid w:val="003348B2"/>
    <w:rsid w:val="00337AF0"/>
    <w:rsid w:val="0037759E"/>
    <w:rsid w:val="003862F6"/>
    <w:rsid w:val="00392286"/>
    <w:rsid w:val="00392E07"/>
    <w:rsid w:val="003A4999"/>
    <w:rsid w:val="003B085A"/>
    <w:rsid w:val="003B7877"/>
    <w:rsid w:val="003D5CB7"/>
    <w:rsid w:val="003D7081"/>
    <w:rsid w:val="003E54DB"/>
    <w:rsid w:val="00406B61"/>
    <w:rsid w:val="00407C22"/>
    <w:rsid w:val="00422A16"/>
    <w:rsid w:val="00441ABC"/>
    <w:rsid w:val="00453FB1"/>
    <w:rsid w:val="0045407F"/>
    <w:rsid w:val="00456BA4"/>
    <w:rsid w:val="00474992"/>
    <w:rsid w:val="004B62D9"/>
    <w:rsid w:val="004D0844"/>
    <w:rsid w:val="004E037D"/>
    <w:rsid w:val="004E604F"/>
    <w:rsid w:val="00505795"/>
    <w:rsid w:val="00506DCF"/>
    <w:rsid w:val="0053729F"/>
    <w:rsid w:val="00545C76"/>
    <w:rsid w:val="005512AB"/>
    <w:rsid w:val="00557858"/>
    <w:rsid w:val="00566265"/>
    <w:rsid w:val="00572452"/>
    <w:rsid w:val="0058585B"/>
    <w:rsid w:val="005954DE"/>
    <w:rsid w:val="005C69DA"/>
    <w:rsid w:val="005E4556"/>
    <w:rsid w:val="005E72BA"/>
    <w:rsid w:val="005F2C37"/>
    <w:rsid w:val="00600849"/>
    <w:rsid w:val="006126E7"/>
    <w:rsid w:val="00617100"/>
    <w:rsid w:val="00620D7A"/>
    <w:rsid w:val="00632E0C"/>
    <w:rsid w:val="00635974"/>
    <w:rsid w:val="00646DBE"/>
    <w:rsid w:val="00666E9F"/>
    <w:rsid w:val="006774B8"/>
    <w:rsid w:val="00690959"/>
    <w:rsid w:val="006A400E"/>
    <w:rsid w:val="006C34EC"/>
    <w:rsid w:val="006D265E"/>
    <w:rsid w:val="006E5841"/>
    <w:rsid w:val="00743ABE"/>
    <w:rsid w:val="007512B6"/>
    <w:rsid w:val="00753FBD"/>
    <w:rsid w:val="0078174E"/>
    <w:rsid w:val="007B6616"/>
    <w:rsid w:val="00814255"/>
    <w:rsid w:val="00815C8B"/>
    <w:rsid w:val="00820EE3"/>
    <w:rsid w:val="00821154"/>
    <w:rsid w:val="00836AAB"/>
    <w:rsid w:val="00836B67"/>
    <w:rsid w:val="00843F15"/>
    <w:rsid w:val="008550BC"/>
    <w:rsid w:val="00861874"/>
    <w:rsid w:val="00865662"/>
    <w:rsid w:val="008721C0"/>
    <w:rsid w:val="00887C84"/>
    <w:rsid w:val="00891D2B"/>
    <w:rsid w:val="008B074B"/>
    <w:rsid w:val="008C5D05"/>
    <w:rsid w:val="008D50A0"/>
    <w:rsid w:val="00933E59"/>
    <w:rsid w:val="00947CFB"/>
    <w:rsid w:val="00954A91"/>
    <w:rsid w:val="009609EE"/>
    <w:rsid w:val="00962DE5"/>
    <w:rsid w:val="00991230"/>
    <w:rsid w:val="00993E0C"/>
    <w:rsid w:val="00997F54"/>
    <w:rsid w:val="009A5E50"/>
    <w:rsid w:val="009B33A5"/>
    <w:rsid w:val="009B4D25"/>
    <w:rsid w:val="009D2D7C"/>
    <w:rsid w:val="009E26F0"/>
    <w:rsid w:val="009E77B2"/>
    <w:rsid w:val="009E7E70"/>
    <w:rsid w:val="00A35E6F"/>
    <w:rsid w:val="00A706C6"/>
    <w:rsid w:val="00A74DC0"/>
    <w:rsid w:val="00AC674C"/>
    <w:rsid w:val="00AD5FEA"/>
    <w:rsid w:val="00AD76C5"/>
    <w:rsid w:val="00AF2E85"/>
    <w:rsid w:val="00B0773A"/>
    <w:rsid w:val="00B13190"/>
    <w:rsid w:val="00B16A72"/>
    <w:rsid w:val="00B171C5"/>
    <w:rsid w:val="00B22C86"/>
    <w:rsid w:val="00B401AF"/>
    <w:rsid w:val="00B424BD"/>
    <w:rsid w:val="00B62F23"/>
    <w:rsid w:val="00B85690"/>
    <w:rsid w:val="00BB3035"/>
    <w:rsid w:val="00BB419B"/>
    <w:rsid w:val="00BD62C5"/>
    <w:rsid w:val="00BF5269"/>
    <w:rsid w:val="00C256B7"/>
    <w:rsid w:val="00C266A8"/>
    <w:rsid w:val="00C271BD"/>
    <w:rsid w:val="00C314F2"/>
    <w:rsid w:val="00C47F4A"/>
    <w:rsid w:val="00C61FE6"/>
    <w:rsid w:val="00C72FF4"/>
    <w:rsid w:val="00C75336"/>
    <w:rsid w:val="00C8086C"/>
    <w:rsid w:val="00C86B5A"/>
    <w:rsid w:val="00C978E2"/>
    <w:rsid w:val="00CA5713"/>
    <w:rsid w:val="00CA7A4E"/>
    <w:rsid w:val="00CB7CEF"/>
    <w:rsid w:val="00CC51CE"/>
    <w:rsid w:val="00D22B85"/>
    <w:rsid w:val="00D86A02"/>
    <w:rsid w:val="00DA555D"/>
    <w:rsid w:val="00DC2B29"/>
    <w:rsid w:val="00E162A5"/>
    <w:rsid w:val="00E17182"/>
    <w:rsid w:val="00E2098D"/>
    <w:rsid w:val="00E227D3"/>
    <w:rsid w:val="00E3721D"/>
    <w:rsid w:val="00E42C90"/>
    <w:rsid w:val="00E46459"/>
    <w:rsid w:val="00E60233"/>
    <w:rsid w:val="00EB5971"/>
    <w:rsid w:val="00EB65D7"/>
    <w:rsid w:val="00EC086D"/>
    <w:rsid w:val="00EC2978"/>
    <w:rsid w:val="00ED5756"/>
    <w:rsid w:val="00EE747B"/>
    <w:rsid w:val="00EF0BE7"/>
    <w:rsid w:val="00EF41AA"/>
    <w:rsid w:val="00F14AC1"/>
    <w:rsid w:val="00F17781"/>
    <w:rsid w:val="00F17E1A"/>
    <w:rsid w:val="00F227D8"/>
    <w:rsid w:val="00F30D93"/>
    <w:rsid w:val="00F32273"/>
    <w:rsid w:val="00F652A2"/>
    <w:rsid w:val="00F84B0D"/>
    <w:rsid w:val="00FF3AC2"/>
    <w:rsid w:val="01214DE1"/>
    <w:rsid w:val="01352CD2"/>
    <w:rsid w:val="0158377A"/>
    <w:rsid w:val="0186709F"/>
    <w:rsid w:val="018941C8"/>
    <w:rsid w:val="019D55FE"/>
    <w:rsid w:val="01A90C48"/>
    <w:rsid w:val="020468C6"/>
    <w:rsid w:val="025F0B06"/>
    <w:rsid w:val="02763DDB"/>
    <w:rsid w:val="02954528"/>
    <w:rsid w:val="029C481C"/>
    <w:rsid w:val="02CA7DC1"/>
    <w:rsid w:val="02CC60C0"/>
    <w:rsid w:val="03070F2F"/>
    <w:rsid w:val="030F1185"/>
    <w:rsid w:val="032F672A"/>
    <w:rsid w:val="034D57B1"/>
    <w:rsid w:val="035D29E1"/>
    <w:rsid w:val="035E542F"/>
    <w:rsid w:val="038E7427"/>
    <w:rsid w:val="03933404"/>
    <w:rsid w:val="03B4268E"/>
    <w:rsid w:val="03DC608F"/>
    <w:rsid w:val="04025E55"/>
    <w:rsid w:val="043F1B03"/>
    <w:rsid w:val="0451420A"/>
    <w:rsid w:val="047D00FB"/>
    <w:rsid w:val="049C64DF"/>
    <w:rsid w:val="04B67B50"/>
    <w:rsid w:val="04C00AD0"/>
    <w:rsid w:val="04CE51C0"/>
    <w:rsid w:val="04D40728"/>
    <w:rsid w:val="050132A2"/>
    <w:rsid w:val="05593C6D"/>
    <w:rsid w:val="058E1F33"/>
    <w:rsid w:val="05D54DF4"/>
    <w:rsid w:val="06CC08F4"/>
    <w:rsid w:val="06D56A69"/>
    <w:rsid w:val="06DE664F"/>
    <w:rsid w:val="06E72366"/>
    <w:rsid w:val="07181283"/>
    <w:rsid w:val="075449B1"/>
    <w:rsid w:val="07AC0CE9"/>
    <w:rsid w:val="07B03B75"/>
    <w:rsid w:val="08382C55"/>
    <w:rsid w:val="084B2E8E"/>
    <w:rsid w:val="08852CE9"/>
    <w:rsid w:val="089D20C0"/>
    <w:rsid w:val="089F7EAE"/>
    <w:rsid w:val="08BD0B83"/>
    <w:rsid w:val="08C92F71"/>
    <w:rsid w:val="08E3697C"/>
    <w:rsid w:val="08EA05E4"/>
    <w:rsid w:val="092B34F0"/>
    <w:rsid w:val="0945664D"/>
    <w:rsid w:val="094D1D58"/>
    <w:rsid w:val="09946235"/>
    <w:rsid w:val="09A869C6"/>
    <w:rsid w:val="09C72B30"/>
    <w:rsid w:val="09D11369"/>
    <w:rsid w:val="0A313921"/>
    <w:rsid w:val="0A520345"/>
    <w:rsid w:val="0A727D32"/>
    <w:rsid w:val="0A9960CD"/>
    <w:rsid w:val="0B073AE9"/>
    <w:rsid w:val="0B5807E8"/>
    <w:rsid w:val="0B8403C6"/>
    <w:rsid w:val="0C6A07D3"/>
    <w:rsid w:val="0C764164"/>
    <w:rsid w:val="0C822F7B"/>
    <w:rsid w:val="0C9C6A7C"/>
    <w:rsid w:val="0CF14EC2"/>
    <w:rsid w:val="0D902255"/>
    <w:rsid w:val="0DA06C82"/>
    <w:rsid w:val="0DE45FC2"/>
    <w:rsid w:val="0E2D09A5"/>
    <w:rsid w:val="0E777BEB"/>
    <w:rsid w:val="0EA81BCB"/>
    <w:rsid w:val="0EDD528C"/>
    <w:rsid w:val="0F082EB5"/>
    <w:rsid w:val="0F17034E"/>
    <w:rsid w:val="0F181587"/>
    <w:rsid w:val="0F2F1ABA"/>
    <w:rsid w:val="0FA7334B"/>
    <w:rsid w:val="0FC64B55"/>
    <w:rsid w:val="0FF978AA"/>
    <w:rsid w:val="100E7F3E"/>
    <w:rsid w:val="10432A36"/>
    <w:rsid w:val="1080277F"/>
    <w:rsid w:val="10A6792B"/>
    <w:rsid w:val="10D555A2"/>
    <w:rsid w:val="10DF0E5B"/>
    <w:rsid w:val="10E072B6"/>
    <w:rsid w:val="10F34B0A"/>
    <w:rsid w:val="11131439"/>
    <w:rsid w:val="1113708C"/>
    <w:rsid w:val="111744D5"/>
    <w:rsid w:val="113A4C18"/>
    <w:rsid w:val="1151514F"/>
    <w:rsid w:val="117E4242"/>
    <w:rsid w:val="126D5AF7"/>
    <w:rsid w:val="12AC58FE"/>
    <w:rsid w:val="12B04830"/>
    <w:rsid w:val="132A12F2"/>
    <w:rsid w:val="134D0507"/>
    <w:rsid w:val="136667F0"/>
    <w:rsid w:val="142B2C8C"/>
    <w:rsid w:val="144F4A62"/>
    <w:rsid w:val="148B6483"/>
    <w:rsid w:val="14AE7FE0"/>
    <w:rsid w:val="15114DD3"/>
    <w:rsid w:val="153701C3"/>
    <w:rsid w:val="15861B6A"/>
    <w:rsid w:val="15984726"/>
    <w:rsid w:val="159F1F18"/>
    <w:rsid w:val="16655BAE"/>
    <w:rsid w:val="166E3696"/>
    <w:rsid w:val="167209B0"/>
    <w:rsid w:val="16D65E64"/>
    <w:rsid w:val="16DC2258"/>
    <w:rsid w:val="179C23E9"/>
    <w:rsid w:val="17A569A3"/>
    <w:rsid w:val="18140079"/>
    <w:rsid w:val="18260A8A"/>
    <w:rsid w:val="18281853"/>
    <w:rsid w:val="18345DFB"/>
    <w:rsid w:val="18962E22"/>
    <w:rsid w:val="1935348E"/>
    <w:rsid w:val="19397563"/>
    <w:rsid w:val="19761BF0"/>
    <w:rsid w:val="19866EA9"/>
    <w:rsid w:val="1A7E6D92"/>
    <w:rsid w:val="1AA4286D"/>
    <w:rsid w:val="1AEB6F83"/>
    <w:rsid w:val="1AF23ACB"/>
    <w:rsid w:val="1B2F0FEB"/>
    <w:rsid w:val="1B7156DA"/>
    <w:rsid w:val="1B7A5610"/>
    <w:rsid w:val="1BBF682E"/>
    <w:rsid w:val="1BC47737"/>
    <w:rsid w:val="1C4813A6"/>
    <w:rsid w:val="1C6E1C1A"/>
    <w:rsid w:val="1CEB6BDA"/>
    <w:rsid w:val="1D021B61"/>
    <w:rsid w:val="1D0D59B7"/>
    <w:rsid w:val="1D2A6F20"/>
    <w:rsid w:val="1D2B7B0B"/>
    <w:rsid w:val="1D393634"/>
    <w:rsid w:val="1D575E75"/>
    <w:rsid w:val="1DA84CB7"/>
    <w:rsid w:val="1DCD5629"/>
    <w:rsid w:val="1ED33FB6"/>
    <w:rsid w:val="1EE362C1"/>
    <w:rsid w:val="1EE91A2B"/>
    <w:rsid w:val="1F870493"/>
    <w:rsid w:val="1F957C80"/>
    <w:rsid w:val="1FAD0E9D"/>
    <w:rsid w:val="1FF526DF"/>
    <w:rsid w:val="20757546"/>
    <w:rsid w:val="20916237"/>
    <w:rsid w:val="20AD475D"/>
    <w:rsid w:val="211C7E96"/>
    <w:rsid w:val="2121158D"/>
    <w:rsid w:val="21423675"/>
    <w:rsid w:val="21DB4AD4"/>
    <w:rsid w:val="221C2C8B"/>
    <w:rsid w:val="227A1BED"/>
    <w:rsid w:val="22897F7B"/>
    <w:rsid w:val="22A81137"/>
    <w:rsid w:val="22B63B7C"/>
    <w:rsid w:val="23364992"/>
    <w:rsid w:val="23377E43"/>
    <w:rsid w:val="237E47C8"/>
    <w:rsid w:val="239679BC"/>
    <w:rsid w:val="23A94227"/>
    <w:rsid w:val="23C465C3"/>
    <w:rsid w:val="23CF4666"/>
    <w:rsid w:val="243352C3"/>
    <w:rsid w:val="243A0633"/>
    <w:rsid w:val="2470074D"/>
    <w:rsid w:val="24946440"/>
    <w:rsid w:val="249A6E83"/>
    <w:rsid w:val="24F17882"/>
    <w:rsid w:val="250B5581"/>
    <w:rsid w:val="254A3D36"/>
    <w:rsid w:val="255F3DE6"/>
    <w:rsid w:val="259F48FF"/>
    <w:rsid w:val="25A16BBC"/>
    <w:rsid w:val="25D0124F"/>
    <w:rsid w:val="25D94DD4"/>
    <w:rsid w:val="26731C08"/>
    <w:rsid w:val="26AB6DE5"/>
    <w:rsid w:val="26C8635B"/>
    <w:rsid w:val="272649BD"/>
    <w:rsid w:val="272E180E"/>
    <w:rsid w:val="2769195B"/>
    <w:rsid w:val="27843C3F"/>
    <w:rsid w:val="2787368D"/>
    <w:rsid w:val="27876856"/>
    <w:rsid w:val="2790513A"/>
    <w:rsid w:val="27D21F3A"/>
    <w:rsid w:val="27EC4FF3"/>
    <w:rsid w:val="281E00A2"/>
    <w:rsid w:val="2826566A"/>
    <w:rsid w:val="285A5748"/>
    <w:rsid w:val="285D5575"/>
    <w:rsid w:val="286964CD"/>
    <w:rsid w:val="28DF6EA3"/>
    <w:rsid w:val="28F226E1"/>
    <w:rsid w:val="29312176"/>
    <w:rsid w:val="29932CBF"/>
    <w:rsid w:val="2A15016E"/>
    <w:rsid w:val="2A636050"/>
    <w:rsid w:val="2A724F8F"/>
    <w:rsid w:val="2B443208"/>
    <w:rsid w:val="2B4F2110"/>
    <w:rsid w:val="2B740692"/>
    <w:rsid w:val="2B843E3A"/>
    <w:rsid w:val="2BF30523"/>
    <w:rsid w:val="2C052E80"/>
    <w:rsid w:val="2C057779"/>
    <w:rsid w:val="2C1763C4"/>
    <w:rsid w:val="2C4D647D"/>
    <w:rsid w:val="2C6A48BA"/>
    <w:rsid w:val="2C7120D7"/>
    <w:rsid w:val="2CA84CD4"/>
    <w:rsid w:val="2CF44F0E"/>
    <w:rsid w:val="2D160EE5"/>
    <w:rsid w:val="2D2442A4"/>
    <w:rsid w:val="2D654973"/>
    <w:rsid w:val="2DD964FC"/>
    <w:rsid w:val="2E232605"/>
    <w:rsid w:val="2E2773C3"/>
    <w:rsid w:val="2E4144F6"/>
    <w:rsid w:val="2E42576A"/>
    <w:rsid w:val="2E5D60AC"/>
    <w:rsid w:val="2E725599"/>
    <w:rsid w:val="2E7B67B7"/>
    <w:rsid w:val="2EB05BB4"/>
    <w:rsid w:val="2EC91E4A"/>
    <w:rsid w:val="2ECA15B0"/>
    <w:rsid w:val="2ED20946"/>
    <w:rsid w:val="2F081A5A"/>
    <w:rsid w:val="2F0D6469"/>
    <w:rsid w:val="2F7C781E"/>
    <w:rsid w:val="2F8A6BA7"/>
    <w:rsid w:val="2F8D7005"/>
    <w:rsid w:val="2FA6281D"/>
    <w:rsid w:val="30361C3D"/>
    <w:rsid w:val="3048031E"/>
    <w:rsid w:val="307F6D9B"/>
    <w:rsid w:val="309612E7"/>
    <w:rsid w:val="30C735E4"/>
    <w:rsid w:val="30E41DA3"/>
    <w:rsid w:val="310E38F3"/>
    <w:rsid w:val="311D18A9"/>
    <w:rsid w:val="313905F0"/>
    <w:rsid w:val="314E2627"/>
    <w:rsid w:val="315545E8"/>
    <w:rsid w:val="316027E3"/>
    <w:rsid w:val="31985621"/>
    <w:rsid w:val="31A94212"/>
    <w:rsid w:val="31C44FA8"/>
    <w:rsid w:val="31D86DB0"/>
    <w:rsid w:val="31E7169E"/>
    <w:rsid w:val="31E74E6A"/>
    <w:rsid w:val="32597C72"/>
    <w:rsid w:val="33125186"/>
    <w:rsid w:val="331E4ED3"/>
    <w:rsid w:val="332A695B"/>
    <w:rsid w:val="33C87924"/>
    <w:rsid w:val="340B3CA6"/>
    <w:rsid w:val="350F3390"/>
    <w:rsid w:val="35584672"/>
    <w:rsid w:val="35BC0BB3"/>
    <w:rsid w:val="35D54383"/>
    <w:rsid w:val="35FC7E3E"/>
    <w:rsid w:val="361459E8"/>
    <w:rsid w:val="364551A0"/>
    <w:rsid w:val="365B0074"/>
    <w:rsid w:val="36796D46"/>
    <w:rsid w:val="36E3303B"/>
    <w:rsid w:val="37117919"/>
    <w:rsid w:val="377864EF"/>
    <w:rsid w:val="37A24BB5"/>
    <w:rsid w:val="37BA36C1"/>
    <w:rsid w:val="37D8063D"/>
    <w:rsid w:val="37D85C4B"/>
    <w:rsid w:val="37EB265E"/>
    <w:rsid w:val="38715A42"/>
    <w:rsid w:val="38832A94"/>
    <w:rsid w:val="38B140EA"/>
    <w:rsid w:val="38B40FD6"/>
    <w:rsid w:val="394423AF"/>
    <w:rsid w:val="395C4FE3"/>
    <w:rsid w:val="39726C19"/>
    <w:rsid w:val="39D62242"/>
    <w:rsid w:val="39EB3533"/>
    <w:rsid w:val="3A15327D"/>
    <w:rsid w:val="3A2F0938"/>
    <w:rsid w:val="3A452F16"/>
    <w:rsid w:val="3A4746FD"/>
    <w:rsid w:val="3A8E2E23"/>
    <w:rsid w:val="3AB87631"/>
    <w:rsid w:val="3AC570EC"/>
    <w:rsid w:val="3AD74858"/>
    <w:rsid w:val="3BCB46A8"/>
    <w:rsid w:val="3C052418"/>
    <w:rsid w:val="3C2123AD"/>
    <w:rsid w:val="3C540D67"/>
    <w:rsid w:val="3CC639F9"/>
    <w:rsid w:val="3CE32E1C"/>
    <w:rsid w:val="3CF545D4"/>
    <w:rsid w:val="3D53656E"/>
    <w:rsid w:val="3D75082C"/>
    <w:rsid w:val="3DC21C1B"/>
    <w:rsid w:val="3DCD1943"/>
    <w:rsid w:val="3DCF64F7"/>
    <w:rsid w:val="3E177CBF"/>
    <w:rsid w:val="3E2154AD"/>
    <w:rsid w:val="3E5C7CEE"/>
    <w:rsid w:val="3E795874"/>
    <w:rsid w:val="3E8A0A7D"/>
    <w:rsid w:val="3EEE056A"/>
    <w:rsid w:val="3F497B24"/>
    <w:rsid w:val="3F8C5D8F"/>
    <w:rsid w:val="3F9D174E"/>
    <w:rsid w:val="4093248F"/>
    <w:rsid w:val="409D5507"/>
    <w:rsid w:val="413A7E27"/>
    <w:rsid w:val="414803DC"/>
    <w:rsid w:val="41B31F30"/>
    <w:rsid w:val="41E122CE"/>
    <w:rsid w:val="42366127"/>
    <w:rsid w:val="426A2FE7"/>
    <w:rsid w:val="42B577DB"/>
    <w:rsid w:val="42C108A1"/>
    <w:rsid w:val="42C910A8"/>
    <w:rsid w:val="431B21D3"/>
    <w:rsid w:val="43594D88"/>
    <w:rsid w:val="43845CEF"/>
    <w:rsid w:val="438B661E"/>
    <w:rsid w:val="43C162D4"/>
    <w:rsid w:val="4403008C"/>
    <w:rsid w:val="444F2415"/>
    <w:rsid w:val="44637640"/>
    <w:rsid w:val="44752287"/>
    <w:rsid w:val="44780C5A"/>
    <w:rsid w:val="44B904F2"/>
    <w:rsid w:val="44C43168"/>
    <w:rsid w:val="44F15B2E"/>
    <w:rsid w:val="44F90D12"/>
    <w:rsid w:val="45011E46"/>
    <w:rsid w:val="45C049E4"/>
    <w:rsid w:val="45C350B4"/>
    <w:rsid w:val="45CD575C"/>
    <w:rsid w:val="45DA7C2F"/>
    <w:rsid w:val="460A3F80"/>
    <w:rsid w:val="46626B52"/>
    <w:rsid w:val="46723589"/>
    <w:rsid w:val="46AE3806"/>
    <w:rsid w:val="471136A9"/>
    <w:rsid w:val="47321912"/>
    <w:rsid w:val="474F65B5"/>
    <w:rsid w:val="476249DD"/>
    <w:rsid w:val="47982BEE"/>
    <w:rsid w:val="47F170D7"/>
    <w:rsid w:val="48277E57"/>
    <w:rsid w:val="486727CE"/>
    <w:rsid w:val="488471B1"/>
    <w:rsid w:val="48C029F5"/>
    <w:rsid w:val="48F70005"/>
    <w:rsid w:val="4A2347E2"/>
    <w:rsid w:val="4A2D1429"/>
    <w:rsid w:val="4A326174"/>
    <w:rsid w:val="4A364280"/>
    <w:rsid w:val="4A4D4DAF"/>
    <w:rsid w:val="4A5B68EE"/>
    <w:rsid w:val="4A873D4E"/>
    <w:rsid w:val="4A897A9B"/>
    <w:rsid w:val="4AC872FD"/>
    <w:rsid w:val="4ADF6E9E"/>
    <w:rsid w:val="4AEC6DA7"/>
    <w:rsid w:val="4B150A72"/>
    <w:rsid w:val="4B2B621A"/>
    <w:rsid w:val="4B4064FC"/>
    <w:rsid w:val="4B646826"/>
    <w:rsid w:val="4B771FE9"/>
    <w:rsid w:val="4BB112C9"/>
    <w:rsid w:val="4BD92043"/>
    <w:rsid w:val="4BF452C0"/>
    <w:rsid w:val="4C9D1DB7"/>
    <w:rsid w:val="4CC629D5"/>
    <w:rsid w:val="4CCE0173"/>
    <w:rsid w:val="4CDB54D5"/>
    <w:rsid w:val="4D47743D"/>
    <w:rsid w:val="4D5F0F87"/>
    <w:rsid w:val="4D990A34"/>
    <w:rsid w:val="4D9C35BC"/>
    <w:rsid w:val="4DA22536"/>
    <w:rsid w:val="4DD22136"/>
    <w:rsid w:val="4DEC6EC2"/>
    <w:rsid w:val="4E270D03"/>
    <w:rsid w:val="4E5D0189"/>
    <w:rsid w:val="4E68793A"/>
    <w:rsid w:val="4EB83DEF"/>
    <w:rsid w:val="4F1418FD"/>
    <w:rsid w:val="4F98111F"/>
    <w:rsid w:val="4FB97F25"/>
    <w:rsid w:val="4FC94116"/>
    <w:rsid w:val="500A08E9"/>
    <w:rsid w:val="507765E7"/>
    <w:rsid w:val="50AA5DC6"/>
    <w:rsid w:val="50D457E8"/>
    <w:rsid w:val="50F03993"/>
    <w:rsid w:val="513E1167"/>
    <w:rsid w:val="51AE4346"/>
    <w:rsid w:val="51CE70BE"/>
    <w:rsid w:val="51ED7159"/>
    <w:rsid w:val="52242B72"/>
    <w:rsid w:val="52291B63"/>
    <w:rsid w:val="525932D7"/>
    <w:rsid w:val="527D1240"/>
    <w:rsid w:val="52932411"/>
    <w:rsid w:val="52CC0639"/>
    <w:rsid w:val="53232D25"/>
    <w:rsid w:val="53257877"/>
    <w:rsid w:val="532B28CC"/>
    <w:rsid w:val="538F27E9"/>
    <w:rsid w:val="53AB3ED4"/>
    <w:rsid w:val="54857B21"/>
    <w:rsid w:val="550D3076"/>
    <w:rsid w:val="551E6029"/>
    <w:rsid w:val="55432F3C"/>
    <w:rsid w:val="55604DFF"/>
    <w:rsid w:val="556A671B"/>
    <w:rsid w:val="556C77D6"/>
    <w:rsid w:val="55BD2CEE"/>
    <w:rsid w:val="55C23BDB"/>
    <w:rsid w:val="56A96DCF"/>
    <w:rsid w:val="56C7210A"/>
    <w:rsid w:val="56CD1784"/>
    <w:rsid w:val="571F1CDE"/>
    <w:rsid w:val="572962E0"/>
    <w:rsid w:val="57364A03"/>
    <w:rsid w:val="57440888"/>
    <w:rsid w:val="57AC6AB6"/>
    <w:rsid w:val="57CC546B"/>
    <w:rsid w:val="581D09B0"/>
    <w:rsid w:val="581D5296"/>
    <w:rsid w:val="58526349"/>
    <w:rsid w:val="586043E7"/>
    <w:rsid w:val="588C1BED"/>
    <w:rsid w:val="588D1881"/>
    <w:rsid w:val="58AA60E9"/>
    <w:rsid w:val="59215130"/>
    <w:rsid w:val="5932782F"/>
    <w:rsid w:val="59CA374B"/>
    <w:rsid w:val="5A382944"/>
    <w:rsid w:val="5A5A0618"/>
    <w:rsid w:val="5A6E711F"/>
    <w:rsid w:val="5A9A71B6"/>
    <w:rsid w:val="5AC946C1"/>
    <w:rsid w:val="5ACE7239"/>
    <w:rsid w:val="5ADA13F0"/>
    <w:rsid w:val="5AFB151B"/>
    <w:rsid w:val="5B1245B7"/>
    <w:rsid w:val="5B78012A"/>
    <w:rsid w:val="5BCA1373"/>
    <w:rsid w:val="5BD1358C"/>
    <w:rsid w:val="5BFD7CA9"/>
    <w:rsid w:val="5C5437CD"/>
    <w:rsid w:val="5C7C583F"/>
    <w:rsid w:val="5CC03860"/>
    <w:rsid w:val="5D115084"/>
    <w:rsid w:val="5D1458EA"/>
    <w:rsid w:val="5D1F7DEB"/>
    <w:rsid w:val="5D2C211F"/>
    <w:rsid w:val="5D39107B"/>
    <w:rsid w:val="5D616655"/>
    <w:rsid w:val="5DAB0AD4"/>
    <w:rsid w:val="5DD00EDD"/>
    <w:rsid w:val="5DF70D68"/>
    <w:rsid w:val="5E35097B"/>
    <w:rsid w:val="5E8918A8"/>
    <w:rsid w:val="5EA133A5"/>
    <w:rsid w:val="5F171D4D"/>
    <w:rsid w:val="5F5A6C31"/>
    <w:rsid w:val="5F610D25"/>
    <w:rsid w:val="5FA24E47"/>
    <w:rsid w:val="5FAD3C4B"/>
    <w:rsid w:val="5FC058B5"/>
    <w:rsid w:val="5FCE6346"/>
    <w:rsid w:val="5FDB26EF"/>
    <w:rsid w:val="604364E6"/>
    <w:rsid w:val="605C0D56"/>
    <w:rsid w:val="607E2D9A"/>
    <w:rsid w:val="60851A1E"/>
    <w:rsid w:val="60AB62DF"/>
    <w:rsid w:val="60C3288F"/>
    <w:rsid w:val="61136892"/>
    <w:rsid w:val="611628AF"/>
    <w:rsid w:val="6129666D"/>
    <w:rsid w:val="61482B54"/>
    <w:rsid w:val="614B4BDA"/>
    <w:rsid w:val="61C95B6B"/>
    <w:rsid w:val="622A1DBB"/>
    <w:rsid w:val="623F393B"/>
    <w:rsid w:val="62567B94"/>
    <w:rsid w:val="626044D6"/>
    <w:rsid w:val="628B4E85"/>
    <w:rsid w:val="62EF64C3"/>
    <w:rsid w:val="62FC6E08"/>
    <w:rsid w:val="6307634E"/>
    <w:rsid w:val="630B5F30"/>
    <w:rsid w:val="638B59E6"/>
    <w:rsid w:val="638E5DB2"/>
    <w:rsid w:val="63E63A76"/>
    <w:rsid w:val="640B731B"/>
    <w:rsid w:val="644E7832"/>
    <w:rsid w:val="648620CE"/>
    <w:rsid w:val="64F631CF"/>
    <w:rsid w:val="651A3541"/>
    <w:rsid w:val="6533227E"/>
    <w:rsid w:val="65881C3A"/>
    <w:rsid w:val="658D1F99"/>
    <w:rsid w:val="65C17989"/>
    <w:rsid w:val="66091638"/>
    <w:rsid w:val="663126E9"/>
    <w:rsid w:val="66542B2E"/>
    <w:rsid w:val="66D72272"/>
    <w:rsid w:val="66D91ACA"/>
    <w:rsid w:val="66DE380F"/>
    <w:rsid w:val="66E24FB5"/>
    <w:rsid w:val="6734350F"/>
    <w:rsid w:val="67376452"/>
    <w:rsid w:val="674768BC"/>
    <w:rsid w:val="675608AD"/>
    <w:rsid w:val="675E42E4"/>
    <w:rsid w:val="67CD5013"/>
    <w:rsid w:val="67F65BEC"/>
    <w:rsid w:val="683127C9"/>
    <w:rsid w:val="6862722E"/>
    <w:rsid w:val="689479F4"/>
    <w:rsid w:val="68CA3301"/>
    <w:rsid w:val="68F60C0B"/>
    <w:rsid w:val="694035C3"/>
    <w:rsid w:val="69AC67B3"/>
    <w:rsid w:val="69BF3BB4"/>
    <w:rsid w:val="6A4520A3"/>
    <w:rsid w:val="6A4F5059"/>
    <w:rsid w:val="6A8963CC"/>
    <w:rsid w:val="6AD050CC"/>
    <w:rsid w:val="6B5A0F11"/>
    <w:rsid w:val="6B780252"/>
    <w:rsid w:val="6B886FCF"/>
    <w:rsid w:val="6B9F6996"/>
    <w:rsid w:val="6BA54625"/>
    <w:rsid w:val="6BAB73E8"/>
    <w:rsid w:val="6BE56201"/>
    <w:rsid w:val="6BFA214F"/>
    <w:rsid w:val="6C8716FB"/>
    <w:rsid w:val="6CF054C8"/>
    <w:rsid w:val="6DAA6604"/>
    <w:rsid w:val="6DE14CD2"/>
    <w:rsid w:val="6DE76A93"/>
    <w:rsid w:val="6DFC19E6"/>
    <w:rsid w:val="6E6A7C14"/>
    <w:rsid w:val="6E871E1C"/>
    <w:rsid w:val="6E96204E"/>
    <w:rsid w:val="6EA13F08"/>
    <w:rsid w:val="6EE01CB1"/>
    <w:rsid w:val="6F494820"/>
    <w:rsid w:val="6F6C724F"/>
    <w:rsid w:val="6F6E48F2"/>
    <w:rsid w:val="6FA058BC"/>
    <w:rsid w:val="6FB07479"/>
    <w:rsid w:val="6FBC6C7D"/>
    <w:rsid w:val="6FC06A26"/>
    <w:rsid w:val="706353F3"/>
    <w:rsid w:val="706715E8"/>
    <w:rsid w:val="70EF299B"/>
    <w:rsid w:val="70FF5B11"/>
    <w:rsid w:val="71081DD0"/>
    <w:rsid w:val="713D16BB"/>
    <w:rsid w:val="71457823"/>
    <w:rsid w:val="716554C4"/>
    <w:rsid w:val="716F669F"/>
    <w:rsid w:val="71E54BE7"/>
    <w:rsid w:val="724C2FD8"/>
    <w:rsid w:val="726D713B"/>
    <w:rsid w:val="72BD4878"/>
    <w:rsid w:val="72C36AFF"/>
    <w:rsid w:val="72DA3918"/>
    <w:rsid w:val="72EB4F99"/>
    <w:rsid w:val="73165D2D"/>
    <w:rsid w:val="73374ECB"/>
    <w:rsid w:val="734062EA"/>
    <w:rsid w:val="73721666"/>
    <w:rsid w:val="738F58BD"/>
    <w:rsid w:val="73DF0FCC"/>
    <w:rsid w:val="73FA093B"/>
    <w:rsid w:val="73FC66C3"/>
    <w:rsid w:val="74100457"/>
    <w:rsid w:val="74336C17"/>
    <w:rsid w:val="743F437F"/>
    <w:rsid w:val="74723111"/>
    <w:rsid w:val="749029AD"/>
    <w:rsid w:val="74965E0F"/>
    <w:rsid w:val="74AA01FD"/>
    <w:rsid w:val="74E25E76"/>
    <w:rsid w:val="74E565A3"/>
    <w:rsid w:val="75454698"/>
    <w:rsid w:val="75884C36"/>
    <w:rsid w:val="75B137B2"/>
    <w:rsid w:val="75D27C98"/>
    <w:rsid w:val="767D38AD"/>
    <w:rsid w:val="76C3499E"/>
    <w:rsid w:val="76F25A23"/>
    <w:rsid w:val="76F519BF"/>
    <w:rsid w:val="76FE0FDF"/>
    <w:rsid w:val="77062E3A"/>
    <w:rsid w:val="77210202"/>
    <w:rsid w:val="77D47CF8"/>
    <w:rsid w:val="77DA2E34"/>
    <w:rsid w:val="77EB0B9E"/>
    <w:rsid w:val="78185B18"/>
    <w:rsid w:val="784E0829"/>
    <w:rsid w:val="785275B1"/>
    <w:rsid w:val="78850FF2"/>
    <w:rsid w:val="78B57C59"/>
    <w:rsid w:val="78EC72C3"/>
    <w:rsid w:val="78FF0275"/>
    <w:rsid w:val="790441E7"/>
    <w:rsid w:val="79106E0E"/>
    <w:rsid w:val="796E1222"/>
    <w:rsid w:val="79AC63B4"/>
    <w:rsid w:val="79D313F3"/>
    <w:rsid w:val="7A5E7E3A"/>
    <w:rsid w:val="7AB55B67"/>
    <w:rsid w:val="7B145303"/>
    <w:rsid w:val="7B38059E"/>
    <w:rsid w:val="7B9C32AB"/>
    <w:rsid w:val="7C1323B5"/>
    <w:rsid w:val="7C55074B"/>
    <w:rsid w:val="7C7325F3"/>
    <w:rsid w:val="7D020E63"/>
    <w:rsid w:val="7D071922"/>
    <w:rsid w:val="7D334F0C"/>
    <w:rsid w:val="7D693FC4"/>
    <w:rsid w:val="7D6F5533"/>
    <w:rsid w:val="7DAA50AD"/>
    <w:rsid w:val="7E15410B"/>
    <w:rsid w:val="7E590854"/>
    <w:rsid w:val="7E777418"/>
    <w:rsid w:val="7F8E45CD"/>
    <w:rsid w:val="7F8F6BFA"/>
    <w:rsid w:val="7FBF0C74"/>
    <w:rsid w:val="7FD566D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autoRedefine/>
    <w:qFormat/>
    <w:locked/>
    <w:uiPriority w:val="0"/>
    <w:pPr>
      <w:keepNext/>
      <w:keepLines/>
      <w:spacing w:beforeAutospacing="1" w:afterAutospacing="1"/>
      <w:jc w:val="center"/>
      <w:outlineLvl w:val="0"/>
    </w:pPr>
    <w:rPr>
      <w:b/>
      <w:kern w:val="44"/>
      <w:sz w:val="44"/>
    </w:rPr>
  </w:style>
  <w:style w:type="paragraph" w:styleId="5">
    <w:name w:val="heading 4"/>
    <w:basedOn w:val="1"/>
    <w:next w:val="1"/>
    <w:autoRedefine/>
    <w:unhideWhenUsed/>
    <w:qFormat/>
    <w:locked/>
    <w:uiPriority w:val="0"/>
    <w:pPr>
      <w:spacing w:before="100" w:beforeAutospacing="1" w:after="100" w:afterAutospacing="1"/>
      <w:jc w:val="left"/>
      <w:outlineLvl w:val="3"/>
    </w:pPr>
    <w:rPr>
      <w:rFonts w:hint="eastAsia" w:ascii="宋体" w:hAnsi="宋体"/>
      <w:b/>
      <w:kern w:val="0"/>
      <w:sz w:val="24"/>
    </w:rPr>
  </w:style>
  <w:style w:type="character" w:default="1" w:styleId="21">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customStyle="1" w:styleId="2">
    <w:name w:val="Default"/>
    <w:basedOn w:val="3"/>
    <w:autoRedefine/>
    <w:unhideWhenUsed/>
    <w:qFormat/>
    <w:uiPriority w:val="99"/>
    <w:pPr>
      <w:autoSpaceDE w:val="0"/>
      <w:autoSpaceDN w:val="0"/>
    </w:pPr>
    <w:rPr>
      <w:rFonts w:hint="eastAsia" w:ascii="仿宋_GB2312" w:hAnsi="仿宋_GB2312" w:eastAsia="仿宋_GB2312"/>
      <w:color w:val="000000"/>
      <w:sz w:val="24"/>
    </w:rPr>
  </w:style>
  <w:style w:type="paragraph" w:customStyle="1" w:styleId="3">
    <w:name w:val="纯文本1"/>
    <w:basedOn w:val="1"/>
    <w:qFormat/>
    <w:uiPriority w:val="0"/>
    <w:pPr>
      <w:adjustRightInd w:val="0"/>
    </w:pPr>
    <w:rPr>
      <w:rFonts w:ascii="宋体" w:hAnsi="Courier New"/>
    </w:rPr>
  </w:style>
  <w:style w:type="paragraph" w:styleId="6">
    <w:name w:val="Normal Indent"/>
    <w:basedOn w:val="1"/>
    <w:qFormat/>
    <w:uiPriority w:val="0"/>
    <w:pPr>
      <w:ind w:firstLine="420"/>
    </w:pPr>
    <w:rPr>
      <w:szCs w:val="20"/>
    </w:rPr>
  </w:style>
  <w:style w:type="paragraph" w:styleId="7">
    <w:name w:val="index 5"/>
    <w:basedOn w:val="1"/>
    <w:next w:val="1"/>
    <w:semiHidden/>
    <w:qFormat/>
    <w:uiPriority w:val="0"/>
    <w:pPr>
      <w:ind w:left="1680"/>
    </w:pPr>
    <w:rPr>
      <w:rFonts w:eastAsia="Times New Roman"/>
      <w:sz w:val="32"/>
    </w:rPr>
  </w:style>
  <w:style w:type="paragraph" w:styleId="8">
    <w:name w:val="annotation text"/>
    <w:basedOn w:val="1"/>
    <w:qFormat/>
    <w:uiPriority w:val="0"/>
    <w:pPr>
      <w:jc w:val="left"/>
    </w:pPr>
  </w:style>
  <w:style w:type="paragraph" w:styleId="9">
    <w:name w:val="Body Text"/>
    <w:basedOn w:val="1"/>
    <w:next w:val="1"/>
    <w:autoRedefine/>
    <w:qFormat/>
    <w:uiPriority w:val="0"/>
    <w:rPr>
      <w:b/>
      <w:bCs/>
      <w:sz w:val="24"/>
    </w:rPr>
  </w:style>
  <w:style w:type="paragraph" w:styleId="10">
    <w:name w:val="Body Text Indent"/>
    <w:basedOn w:val="1"/>
    <w:next w:val="1"/>
    <w:qFormat/>
    <w:uiPriority w:val="0"/>
    <w:pPr>
      <w:spacing w:line="360" w:lineRule="auto"/>
      <w:ind w:firstLine="480"/>
    </w:pPr>
    <w:rPr>
      <w:sz w:val="24"/>
    </w:rPr>
  </w:style>
  <w:style w:type="paragraph" w:styleId="11">
    <w:name w:val="Block Text"/>
    <w:basedOn w:val="1"/>
    <w:next w:val="1"/>
    <w:autoRedefine/>
    <w:qFormat/>
    <w:uiPriority w:val="0"/>
    <w:pPr>
      <w:spacing w:line="320" w:lineRule="exact"/>
      <w:ind w:left="113" w:right="113"/>
      <w:jc w:val="center"/>
    </w:pPr>
    <w:rPr>
      <w:b/>
      <w:sz w:val="13"/>
      <w:szCs w:val="15"/>
    </w:rPr>
  </w:style>
  <w:style w:type="paragraph" w:styleId="12">
    <w:name w:val="Date"/>
    <w:basedOn w:val="1"/>
    <w:next w:val="1"/>
    <w:autoRedefine/>
    <w:qFormat/>
    <w:uiPriority w:val="0"/>
    <w:pPr>
      <w:ind w:left="100" w:leftChars="2500"/>
    </w:pPr>
  </w:style>
  <w:style w:type="paragraph" w:styleId="13">
    <w:name w:val="footer"/>
    <w:basedOn w:val="1"/>
    <w:autoRedefine/>
    <w:qFormat/>
    <w:uiPriority w:val="0"/>
    <w:pPr>
      <w:tabs>
        <w:tab w:val="center" w:pos="4153"/>
        <w:tab w:val="right" w:pos="8306"/>
      </w:tabs>
      <w:snapToGrid w:val="0"/>
      <w:jc w:val="left"/>
    </w:pPr>
    <w:rPr>
      <w:sz w:val="18"/>
      <w:szCs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5">
    <w:name w:val="List"/>
    <w:basedOn w:val="1"/>
    <w:autoRedefine/>
    <w:qFormat/>
    <w:uiPriority w:val="0"/>
    <w:pPr>
      <w:spacing w:line="320" w:lineRule="exact"/>
      <w:jc w:val="center"/>
    </w:pPr>
    <w:rPr>
      <w:sz w:val="22"/>
    </w:rPr>
  </w:style>
  <w:style w:type="paragraph" w:styleId="16">
    <w:name w:val="Body Text 2"/>
    <w:basedOn w:val="1"/>
    <w:autoRedefine/>
    <w:qFormat/>
    <w:uiPriority w:val="99"/>
    <w:pPr>
      <w:numPr>
        <w:ilvl w:val="0"/>
        <w:numId w:val="1"/>
      </w:numPr>
      <w:spacing w:beforeLines="50" w:line="336" w:lineRule="auto"/>
      <w:ind w:left="0" w:firstLine="0"/>
    </w:pPr>
    <w:rPr>
      <w:rFonts w:eastAsia="仿宋_GB2312"/>
      <w:kern w:val="0"/>
      <w:lang w:val="en-GB" w:eastAsia="en-US"/>
    </w:rPr>
  </w:style>
  <w:style w:type="paragraph" w:styleId="17">
    <w:name w:val="Normal (Web)"/>
    <w:basedOn w:val="1"/>
    <w:autoRedefine/>
    <w:qFormat/>
    <w:uiPriority w:val="0"/>
    <w:pPr>
      <w:spacing w:before="100" w:beforeAutospacing="1" w:after="100" w:afterAutospacing="1"/>
      <w:jc w:val="left"/>
    </w:pPr>
    <w:rPr>
      <w:kern w:val="0"/>
      <w:sz w:val="24"/>
    </w:rPr>
  </w:style>
  <w:style w:type="paragraph" w:styleId="18">
    <w:name w:val="Body Text First Indent"/>
    <w:basedOn w:val="9"/>
    <w:autoRedefine/>
    <w:qFormat/>
    <w:uiPriority w:val="0"/>
    <w:pPr>
      <w:spacing w:after="120"/>
      <w:ind w:firstLine="420" w:firstLineChars="100"/>
    </w:pPr>
    <w:rPr>
      <w:sz w:val="21"/>
    </w:rPr>
  </w:style>
  <w:style w:type="paragraph" w:styleId="19">
    <w:name w:val="Body Text First Indent 2"/>
    <w:basedOn w:val="10"/>
    <w:autoRedefine/>
    <w:qFormat/>
    <w:uiPriority w:val="0"/>
    <w:pPr>
      <w:ind w:firstLine="200" w:firstLineChars="200"/>
    </w:pPr>
    <w:rPr>
      <w:szCs w:val="21"/>
    </w:rPr>
  </w:style>
  <w:style w:type="character" w:styleId="22">
    <w:name w:val="page number"/>
    <w:basedOn w:val="21"/>
    <w:autoRedefine/>
    <w:qFormat/>
    <w:uiPriority w:val="0"/>
    <w:rPr>
      <w:rFonts w:cs="Times New Roman"/>
    </w:rPr>
  </w:style>
  <w:style w:type="character" w:styleId="23">
    <w:name w:val="FollowedHyperlink"/>
    <w:basedOn w:val="21"/>
    <w:autoRedefine/>
    <w:qFormat/>
    <w:uiPriority w:val="0"/>
    <w:rPr>
      <w:color w:val="333333"/>
      <w:u w:val="none"/>
    </w:rPr>
  </w:style>
  <w:style w:type="character" w:styleId="24">
    <w:name w:val="Emphasis"/>
    <w:basedOn w:val="21"/>
    <w:autoRedefine/>
    <w:qFormat/>
    <w:locked/>
    <w:uiPriority w:val="0"/>
  </w:style>
  <w:style w:type="character" w:styleId="25">
    <w:name w:val="HTML Definition"/>
    <w:basedOn w:val="21"/>
    <w:autoRedefine/>
    <w:qFormat/>
    <w:uiPriority w:val="0"/>
  </w:style>
  <w:style w:type="character" w:styleId="26">
    <w:name w:val="HTML Variable"/>
    <w:basedOn w:val="21"/>
    <w:autoRedefine/>
    <w:qFormat/>
    <w:uiPriority w:val="0"/>
  </w:style>
  <w:style w:type="character" w:styleId="27">
    <w:name w:val="Hyperlink"/>
    <w:basedOn w:val="21"/>
    <w:autoRedefine/>
    <w:qFormat/>
    <w:uiPriority w:val="0"/>
    <w:rPr>
      <w:color w:val="333333"/>
      <w:u w:val="none"/>
    </w:rPr>
  </w:style>
  <w:style w:type="character" w:styleId="28">
    <w:name w:val="HTML Cite"/>
    <w:basedOn w:val="21"/>
    <w:autoRedefine/>
    <w:qFormat/>
    <w:uiPriority w:val="0"/>
  </w:style>
  <w:style w:type="paragraph" w:customStyle="1" w:styleId="29">
    <w:name w:val="表格文字"/>
    <w:basedOn w:val="1"/>
    <w:autoRedefine/>
    <w:qFormat/>
    <w:uiPriority w:val="0"/>
    <w:pPr>
      <w:adjustRightInd w:val="0"/>
      <w:jc w:val="center"/>
    </w:pPr>
  </w:style>
  <w:style w:type="character" w:customStyle="1" w:styleId="30">
    <w:name w:val="hover18"/>
    <w:basedOn w:val="21"/>
    <w:autoRedefine/>
    <w:qFormat/>
    <w:uiPriority w:val="0"/>
    <w:rPr>
      <w:color w:val="5FB878"/>
    </w:rPr>
  </w:style>
  <w:style w:type="character" w:customStyle="1" w:styleId="31">
    <w:name w:val="hover19"/>
    <w:basedOn w:val="21"/>
    <w:autoRedefine/>
    <w:qFormat/>
    <w:uiPriority w:val="0"/>
    <w:rPr>
      <w:color w:val="5FB878"/>
    </w:rPr>
  </w:style>
  <w:style w:type="character" w:customStyle="1" w:styleId="32">
    <w:name w:val="layui-laypage-curr"/>
    <w:basedOn w:val="21"/>
    <w:autoRedefine/>
    <w:qFormat/>
    <w:uiPriority w:val="0"/>
  </w:style>
  <w:style w:type="character" w:customStyle="1" w:styleId="33">
    <w:name w:val="hover20"/>
    <w:basedOn w:val="21"/>
    <w:autoRedefine/>
    <w:qFormat/>
    <w:uiPriority w:val="0"/>
    <w:rPr>
      <w:color w:val="FFFFFF"/>
    </w:rPr>
  </w:style>
  <w:style w:type="character" w:customStyle="1" w:styleId="34">
    <w:name w:val="layui-this"/>
    <w:basedOn w:val="21"/>
    <w:autoRedefine/>
    <w:qFormat/>
    <w:uiPriority w:val="0"/>
    <w:rPr>
      <w:bdr w:val="single" w:color="EEEEEE" w:sz="6" w:space="0"/>
      <w:shd w:val="clear" w:color="auto" w:fill="FFFFFF"/>
    </w:rPr>
  </w:style>
  <w:style w:type="character" w:customStyle="1" w:styleId="35">
    <w:name w:val="first-child"/>
    <w:basedOn w:val="21"/>
    <w:autoRedefine/>
    <w:qFormat/>
    <w:uiPriority w:val="0"/>
  </w:style>
  <w:style w:type="paragraph" w:customStyle="1" w:styleId="36">
    <w:name w:val="p0"/>
    <w:basedOn w:val="1"/>
    <w:autoRedefine/>
    <w:qFormat/>
    <w:uiPriority w:val="0"/>
    <w:pPr>
      <w:widowControl/>
    </w:pPr>
    <w:rPr>
      <w:kern w:val="0"/>
      <w:szCs w:val="21"/>
    </w:rPr>
  </w:style>
  <w:style w:type="paragraph" w:customStyle="1" w:styleId="37">
    <w:name w:val="Char"/>
    <w:basedOn w:val="1"/>
    <w:autoRedefine/>
    <w:qFormat/>
    <w:uiPriority w:val="0"/>
  </w:style>
  <w:style w:type="paragraph" w:customStyle="1" w:styleId="38">
    <w:name w:val="Char1"/>
    <w:basedOn w:val="1"/>
    <w:autoRedefine/>
    <w:qFormat/>
    <w:uiPriority w:val="0"/>
  </w:style>
  <w:style w:type="character" w:customStyle="1" w:styleId="39">
    <w:name w:val="uni-font-connect"/>
    <w:basedOn w:val="21"/>
    <w:autoRedefine/>
    <w:qFormat/>
    <w:uiPriority w:val="0"/>
  </w:style>
  <w:style w:type="character" w:customStyle="1" w:styleId="40">
    <w:name w:val="tmpztreemove_arrow"/>
    <w:basedOn w:val="21"/>
    <w:autoRedefine/>
    <w:qFormat/>
    <w:uiPriority w:val="0"/>
  </w:style>
  <w:style w:type="character" w:customStyle="1" w:styleId="41">
    <w:name w:val="l-btn-icon-left"/>
    <w:basedOn w:val="21"/>
    <w:autoRedefine/>
    <w:qFormat/>
    <w:uiPriority w:val="0"/>
  </w:style>
  <w:style w:type="character" w:customStyle="1" w:styleId="42">
    <w:name w:val="layui-layer-tabnow"/>
    <w:basedOn w:val="21"/>
    <w:autoRedefine/>
    <w:qFormat/>
    <w:uiPriority w:val="0"/>
    <w:rPr>
      <w:bdr w:val="single" w:color="CCCCCC" w:sz="6" w:space="0"/>
      <w:shd w:val="clear" w:color="auto" w:fill="FFFFFF"/>
    </w:rPr>
  </w:style>
  <w:style w:type="character" w:customStyle="1" w:styleId="43">
    <w:name w:val="l-btn-icon-right"/>
    <w:basedOn w:val="21"/>
    <w:autoRedefine/>
    <w:qFormat/>
    <w:uiPriority w:val="0"/>
  </w:style>
  <w:style w:type="character" w:customStyle="1" w:styleId="44">
    <w:name w:val="l-btn-left"/>
    <w:basedOn w:val="21"/>
    <w:autoRedefine/>
    <w:qFormat/>
    <w:uiPriority w:val="0"/>
  </w:style>
  <w:style w:type="character" w:customStyle="1" w:styleId="45">
    <w:name w:val="l-btn-left1"/>
    <w:basedOn w:val="21"/>
    <w:autoRedefine/>
    <w:qFormat/>
    <w:uiPriority w:val="0"/>
  </w:style>
  <w:style w:type="character" w:customStyle="1" w:styleId="46">
    <w:name w:val="l-btn-left2"/>
    <w:basedOn w:val="21"/>
    <w:autoRedefine/>
    <w:qFormat/>
    <w:uiPriority w:val="0"/>
  </w:style>
  <w:style w:type="character" w:customStyle="1" w:styleId="47">
    <w:name w:val="l-btn-left3"/>
    <w:basedOn w:val="21"/>
    <w:autoRedefine/>
    <w:qFormat/>
    <w:uiPriority w:val="0"/>
  </w:style>
  <w:style w:type="character" w:customStyle="1" w:styleId="48">
    <w:name w:val="l-btn-text"/>
    <w:basedOn w:val="21"/>
    <w:autoRedefine/>
    <w:qFormat/>
    <w:uiPriority w:val="0"/>
    <w:rPr>
      <w:vertAlign w:val="baseline"/>
    </w:rPr>
  </w:style>
  <w:style w:type="character" w:customStyle="1" w:styleId="49">
    <w:name w:val="l-btn-empty"/>
    <w:basedOn w:val="21"/>
    <w:autoRedefine/>
    <w:qFormat/>
    <w:uiPriority w:val="0"/>
  </w:style>
  <w:style w:type="character" w:customStyle="1" w:styleId="50">
    <w:name w:val="button"/>
    <w:basedOn w:val="21"/>
    <w:autoRedefine/>
    <w:qFormat/>
    <w:uiPriority w:val="0"/>
  </w:style>
  <w:style w:type="character" w:customStyle="1" w:styleId="51">
    <w:name w:val="l-btn-left4"/>
    <w:basedOn w:val="21"/>
    <w:autoRedefine/>
    <w:qFormat/>
    <w:uiPriority w:val="0"/>
  </w:style>
  <w:style w:type="character" w:customStyle="1" w:styleId="52">
    <w:name w:val="l-btn-left5"/>
    <w:basedOn w:val="21"/>
    <w:autoRedefine/>
    <w:qFormat/>
    <w:uiPriority w:val="0"/>
  </w:style>
  <w:style w:type="paragraph" w:customStyle="1" w:styleId="53">
    <w:name w:val="表格"/>
    <w:basedOn w:val="15"/>
    <w:next w:val="1"/>
    <w:autoRedefine/>
    <w:qFormat/>
    <w:uiPriority w:val="0"/>
    <w:pPr>
      <w:adjustRightInd w:val="0"/>
      <w:snapToGrid w:val="0"/>
      <w:spacing w:line="240" w:lineRule="auto"/>
    </w:pPr>
    <w:rPr>
      <w:kern w:val="0"/>
      <w:sz w:val="21"/>
      <w:szCs w:val="20"/>
    </w:rPr>
  </w:style>
  <w:style w:type="paragraph" w:customStyle="1" w:styleId="54">
    <w:name w:val="正"/>
    <w:basedOn w:val="1"/>
    <w:autoRedefine/>
    <w:qFormat/>
    <w:uiPriority w:val="0"/>
    <w:pPr>
      <w:adjustRightInd w:val="0"/>
      <w:spacing w:line="360" w:lineRule="auto"/>
      <w:ind w:left="23" w:leftChars="11" w:firstLine="480" w:firstLineChars="200"/>
    </w:pPr>
    <w:rPr>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hbj</Company>
  <Pages>5</Pages>
  <Words>1700</Words>
  <Characters>1890</Characters>
  <Lines>1</Lines>
  <Paragraphs>3</Paragraphs>
  <TotalTime>3</TotalTime>
  <ScaleCrop>false</ScaleCrop>
  <LinksUpToDate>false</LinksUpToDate>
  <CharactersWithSpaces>1909</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2025-12-25T01:05:00Z</dcterms:created>
  <dc:creator>Administrator</dc:creator>
  <cp:lastModifiedBy>墨染秋凉</cp:lastModifiedBy>
  <cp:lastPrinted>2026-10-09T10:34:00Z</cp:lastPrinted>
  <dcterms:modified xsi:type="dcterms:W3CDTF">2026-10-10T09:47:52Z</dcterms:modified>
  <dc:title>滑环〔2016〕  号                    签发人：陈建峰</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F9FF8BF0B9804F8782378C7993257AD0_13</vt:lpwstr>
  </property>
  <property fmtid="{D5CDD505-2E9C-101B-9397-08002B2CF9AE}" pid="4" name="KSOTemplateDocerSaveRecord">
    <vt:lpwstr>eyJoZGlkIjoiYjBjYTBhZThlNzU1YzE4MTAxZTVkY2IyYzEzZGQxMDYiLCJ1c2VySWQiOiI0MzY3NTg1OTAifQ==</vt:lpwstr>
  </property>
</Properties>
</file>