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EE601D">
      <w:pPr>
        <w:keepNext w:val="0"/>
        <w:keepLines w:val="0"/>
        <w:pageBreakBefore w:val="0"/>
        <w:widowControl w:val="0"/>
        <w:tabs>
          <w:tab w:val="left" w:pos="5865"/>
        </w:tabs>
        <w:kinsoku/>
        <w:wordWrap/>
        <w:overflowPunct/>
        <w:topLinePunct w:val="0"/>
        <w:autoSpaceDE/>
        <w:autoSpaceDN/>
        <w:bidi w:val="0"/>
        <w:adjustRightInd/>
        <w:spacing w:line="700" w:lineRule="exact"/>
        <w:ind w:firstLine="1760" w:firstLineChars="400"/>
        <w:jc w:val="both"/>
        <w:textAlignment w:val="auto"/>
        <w:rPr>
          <w:rFonts w:hint="eastAsia" w:ascii="Times New Roman" w:hAnsi="Times New Roman" w:eastAsia="方正小标宋简体"/>
          <w:sz w:val="44"/>
          <w:szCs w:val="44"/>
        </w:rPr>
      </w:pPr>
      <w:r>
        <w:rPr>
          <w:rFonts w:hint="eastAsia" w:ascii="Times New Roman" w:hAnsi="Times New Roman" w:eastAsia="方正小标宋简体"/>
          <w:sz w:val="44"/>
          <w:szCs w:val="44"/>
        </w:rPr>
        <w:t>责令改正违法行为决定书</w:t>
      </w:r>
    </w:p>
    <w:p w14:paraId="798338DC">
      <w:pPr>
        <w:keepNext w:val="0"/>
        <w:keepLines w:val="0"/>
        <w:pageBreakBefore w:val="0"/>
        <w:widowControl w:val="0"/>
        <w:tabs>
          <w:tab w:val="left" w:pos="5865"/>
        </w:tabs>
        <w:kinsoku/>
        <w:wordWrap/>
        <w:overflowPunct/>
        <w:topLinePunct w:val="0"/>
        <w:autoSpaceDE/>
        <w:autoSpaceDN/>
        <w:bidi w:val="0"/>
        <w:adjustRightInd/>
        <w:spacing w:line="700" w:lineRule="exact"/>
        <w:jc w:val="center"/>
        <w:textAlignment w:val="auto"/>
        <w:rPr>
          <w:rFonts w:ascii="Times New Roman" w:hAnsi="Times New Roman" w:eastAsia="仿宋_GB2312"/>
          <w:sz w:val="32"/>
          <w:szCs w:val="32"/>
        </w:rPr>
      </w:pPr>
      <w:bookmarkStart w:id="0" w:name="_GoBack"/>
      <w:r>
        <w:rPr>
          <w:rFonts w:hint="eastAsia" w:ascii="Times New Roman" w:hAnsi="Times New Roman" w:eastAsia="方正小标宋简体"/>
          <w:sz w:val="44"/>
          <w:szCs w:val="44"/>
        </w:rPr>
        <w:t>豫0526环责改字〔2026〕53号</w:t>
      </w:r>
    </w:p>
    <w:bookmarkEnd w:id="0"/>
    <w:p w14:paraId="1128C952">
      <w:pPr>
        <w:jc w:val="center"/>
        <w:rPr>
          <w:rFonts w:hint="eastAsia" w:ascii="黑体" w:hAnsi="黑体" w:eastAsia="黑体" w:cs="黑体"/>
          <w:sz w:val="44"/>
          <w:szCs w:val="44"/>
        </w:rPr>
      </w:pPr>
    </w:p>
    <w:p w14:paraId="4904B83C">
      <w:pPr>
        <w:rPr>
          <w:rFonts w:hint="eastAsia" w:ascii="仿宋" w:hAnsi="仿宋" w:eastAsia="仿宋" w:cs="仿宋"/>
          <w:sz w:val="32"/>
          <w:szCs w:val="32"/>
        </w:rPr>
      </w:pPr>
      <w:r>
        <w:rPr>
          <w:rFonts w:hint="eastAsia" w:ascii="仿宋" w:hAnsi="仿宋" w:eastAsia="仿宋" w:cs="仿宋"/>
          <w:sz w:val="32"/>
          <w:szCs w:val="32"/>
        </w:rPr>
        <w:t>河南充茂科技有限公司</w:t>
      </w:r>
    </w:p>
    <w:p w14:paraId="0E8359E3">
      <w:pPr>
        <w:rPr>
          <w:rFonts w:hint="eastAsia" w:ascii="仿宋" w:hAnsi="仿宋" w:eastAsia="仿宋" w:cs="仿宋"/>
          <w:sz w:val="32"/>
          <w:szCs w:val="32"/>
        </w:rPr>
      </w:pPr>
      <w:r>
        <w:rPr>
          <w:rFonts w:hint="eastAsia" w:ascii="仿宋" w:hAnsi="仿宋" w:eastAsia="仿宋" w:cs="仿宋"/>
          <w:sz w:val="32"/>
          <w:szCs w:val="32"/>
        </w:rPr>
        <w:t>统一社会信用代码：91410100MA45JDRBXW</w:t>
      </w:r>
    </w:p>
    <w:p w14:paraId="6D236C4D">
      <w:pPr>
        <w:ind w:left="960" w:hanging="960" w:hangingChars="300"/>
        <w:rPr>
          <w:rFonts w:hint="eastAsia" w:ascii="仿宋" w:hAnsi="仿宋" w:eastAsia="仿宋" w:cs="仿宋"/>
          <w:sz w:val="32"/>
          <w:szCs w:val="32"/>
        </w:rPr>
      </w:pPr>
      <w:r>
        <w:rPr>
          <w:rFonts w:hint="eastAsia" w:ascii="仿宋" w:hAnsi="仿宋" w:eastAsia="仿宋" w:cs="仿宋"/>
          <w:sz w:val="32"/>
          <w:szCs w:val="32"/>
        </w:rPr>
        <w:t>地址：河南自贸试验区郑州片区（经开）经开第七大街59号院恒大绿洲18号楼2单元104号</w:t>
      </w:r>
    </w:p>
    <w:p w14:paraId="04E45CF9">
      <w:pPr>
        <w:rPr>
          <w:rFonts w:hint="eastAsia" w:ascii="仿宋" w:hAnsi="仿宋" w:eastAsia="仿宋" w:cs="仿宋"/>
          <w:sz w:val="32"/>
          <w:szCs w:val="32"/>
        </w:rPr>
      </w:pPr>
      <w:r>
        <w:rPr>
          <w:rFonts w:hint="eastAsia" w:ascii="仿宋" w:hAnsi="仿宋" w:eastAsia="仿宋" w:cs="仿宋"/>
          <w:sz w:val="32"/>
          <w:szCs w:val="32"/>
        </w:rPr>
        <w:t>法定代表人：陈金旗</w:t>
      </w:r>
    </w:p>
    <w:p w14:paraId="0F0CC43F">
      <w:pPr>
        <w:ind w:firstLine="640" w:firstLineChars="200"/>
        <w:rPr>
          <w:rFonts w:hint="eastAsia" w:ascii="仿宋" w:hAnsi="仿宋" w:eastAsia="仿宋" w:cs="仿宋"/>
          <w:sz w:val="32"/>
          <w:szCs w:val="32"/>
        </w:rPr>
      </w:pPr>
      <w:r>
        <w:rPr>
          <w:rFonts w:hint="eastAsia" w:ascii="仿宋" w:hAnsi="仿宋" w:eastAsia="仿宋" w:cs="仿宋"/>
          <w:sz w:val="32"/>
          <w:szCs w:val="32"/>
        </w:rPr>
        <w:t>我局于2026年6月17日对你单位进行了调查，发现你单位实施了以下环境违法行为：</w:t>
      </w:r>
    </w:p>
    <w:p w14:paraId="05D64A2E">
      <w:pPr>
        <w:ind w:firstLine="640" w:firstLineChars="200"/>
        <w:rPr>
          <w:rFonts w:hint="eastAsia" w:ascii="仿宋" w:hAnsi="仿宋" w:eastAsia="仿宋" w:cs="仿宋"/>
          <w:sz w:val="32"/>
          <w:szCs w:val="32"/>
        </w:rPr>
      </w:pPr>
      <w:r>
        <w:rPr>
          <w:rFonts w:hint="eastAsia" w:ascii="仿宋" w:hAnsi="仿宋" w:eastAsia="仿宋" w:cs="仿宋"/>
          <w:sz w:val="32"/>
          <w:szCs w:val="32"/>
        </w:rPr>
        <w:t>2026年6月17日河南省生态环境厅执法处及安阳市生态环境局执法人员检查滑县王庄镇龙村新型节能建材厂时，发现你单位为该企业提供污染源自动监控设施运行维护服务，该企业隧道窑烟气排放监测设备颗粒物分析仪采样探杆及采样嘴存在腐蚀损坏情况。你公司存在未对隧道窑烟气排放监测设备定期进行维护、如实记录运行维护信息的行为。</w:t>
      </w:r>
    </w:p>
    <w:p w14:paraId="789BD6E3">
      <w:pPr>
        <w:ind w:firstLine="640" w:firstLineChars="200"/>
        <w:rPr>
          <w:rFonts w:hint="eastAsia" w:ascii="仿宋" w:hAnsi="仿宋" w:eastAsia="仿宋" w:cs="仿宋"/>
          <w:sz w:val="32"/>
          <w:szCs w:val="32"/>
        </w:rPr>
      </w:pPr>
      <w:r>
        <w:rPr>
          <w:rFonts w:hint="eastAsia" w:ascii="仿宋" w:hAnsi="仿宋" w:eastAsia="仿宋" w:cs="仿宋"/>
          <w:sz w:val="32"/>
          <w:szCs w:val="32"/>
        </w:rPr>
        <w:t>以上事实，主要有以下证据证明：1、现场检查（勘察）笔录、现场勘查示意图、现场照片证据、调查询问笔录，2026年6月17日-7月21日由安阳市生态环境局滑县综合行政执法大队提供；废气污染源自动监测基站运行维护记录、污染源自动监控设施运行维护合同，2026年6月17日由滑县王庄镇龙村新型节能建材厂提供，证明相对人违法事实；2、营业执照复印件、法定代表人身份证复印件，2026年6月17日-7月21日由河南充茂科技有限公司提供，证明相对人身份；3、执法证扫描件，2026年6月17日由安阳市生态环境局滑县综合行政执法大队提供，证明执法人员身份。</w:t>
      </w:r>
    </w:p>
    <w:p w14:paraId="6EED4498">
      <w:pPr>
        <w:ind w:firstLine="640" w:firstLineChars="200"/>
        <w:rPr>
          <w:rFonts w:hint="eastAsia" w:ascii="仿宋" w:hAnsi="仿宋" w:eastAsia="仿宋" w:cs="仿宋"/>
          <w:sz w:val="32"/>
          <w:szCs w:val="32"/>
        </w:rPr>
      </w:pPr>
      <w:r>
        <w:rPr>
          <w:rFonts w:hint="eastAsia" w:ascii="仿宋" w:hAnsi="仿宋" w:eastAsia="仿宋" w:cs="仿宋"/>
          <w:sz w:val="32"/>
          <w:szCs w:val="32"/>
        </w:rPr>
        <w:t>上述行为违反了《安阳市污染源自动监控管理办法》第十三条第一款：“排污单位、运行维护单位应当按照法律法规和技术规范运行维护自动监测设备，设置、调整自动监测设备的量程，定期运行维护，如实记录、保存自动监测设备的标记、校准、维护、校验、故障维修等运行维护信息。”的规定。</w:t>
      </w:r>
    </w:p>
    <w:p w14:paraId="2A68CD97">
      <w:pPr>
        <w:ind w:firstLine="640" w:firstLineChars="200"/>
        <w:rPr>
          <w:rFonts w:hint="eastAsia" w:ascii="仿宋" w:hAnsi="仿宋" w:eastAsia="仿宋" w:cs="仿宋"/>
          <w:sz w:val="32"/>
          <w:szCs w:val="32"/>
        </w:rPr>
      </w:pPr>
      <w:r>
        <w:rPr>
          <w:rFonts w:hint="eastAsia" w:ascii="仿宋" w:hAnsi="仿宋" w:eastAsia="仿宋" w:cs="仿宋"/>
          <w:sz w:val="32"/>
          <w:szCs w:val="32"/>
        </w:rPr>
        <w:t>依据《中华人民共和国行政处罚法》第二十八条第一款：“行政机关实施行政处罚时，应当责令当事人改正或者限期改正违法行为。”和《安阳市污染源自动监控管理办法》第十九条 ：“运行维护单位未按照国家、省和本办法有关规定设置、调整自动监测设备的量程，定期运行维护，如实记录、保存自动监测设备的校准、维护、校验、故障维修等运行维护信息的，由生态环境主管部门责令改正，处二万元以上二十万元以下罚款。”的规定，现责令你单位:立即改正违法行为</w:t>
      </w:r>
    </w:p>
    <w:p w14:paraId="043F5F51">
      <w:pPr>
        <w:ind w:firstLine="640" w:firstLineChars="200"/>
        <w:rPr>
          <w:rFonts w:hint="eastAsia" w:ascii="仿宋" w:hAnsi="仿宋" w:eastAsia="仿宋" w:cs="仿宋"/>
          <w:sz w:val="32"/>
          <w:szCs w:val="32"/>
          <w:u w:val="single"/>
        </w:rPr>
      </w:pPr>
      <w:r>
        <w:rPr>
          <w:rFonts w:hint="eastAsia" w:ascii="仿宋" w:hAnsi="仿宋" w:eastAsia="仿宋" w:cs="仿宋"/>
          <w:sz w:val="32"/>
          <w:szCs w:val="32"/>
        </w:rPr>
        <w:t>改正内容和要求如下：</w:t>
      </w:r>
      <w:r>
        <w:rPr>
          <w:rFonts w:hint="eastAsia" w:ascii="仿宋" w:hAnsi="仿宋" w:eastAsia="仿宋" w:cs="仿宋"/>
          <w:sz w:val="32"/>
          <w:szCs w:val="32"/>
          <w:u w:val="single"/>
        </w:rPr>
        <w:t xml:space="preserve"> 1、立即对滑县王庄镇龙村新型节能建材厂自动监测设备进行维护；2、如实记录自动监测设备运行维护信息。</w:t>
      </w:r>
    </w:p>
    <w:p w14:paraId="1A35C410">
      <w:pPr>
        <w:ind w:firstLine="640" w:firstLineChars="200"/>
        <w:rPr>
          <w:rFonts w:hint="eastAsia" w:ascii="仿宋" w:hAnsi="仿宋" w:eastAsia="仿宋" w:cs="仿宋"/>
          <w:sz w:val="32"/>
          <w:szCs w:val="32"/>
        </w:rPr>
      </w:pPr>
      <w:r>
        <w:rPr>
          <w:rFonts w:hint="eastAsia" w:ascii="仿宋" w:hAnsi="仿宋" w:eastAsia="仿宋" w:cs="仿宋"/>
          <w:sz w:val="32"/>
          <w:szCs w:val="32"/>
        </w:rPr>
        <w:t>我局将对你单位改正违法行为的情况进行监督，如你单位拒不改正上述生态环境违法行为，我局将依法处理。</w:t>
      </w:r>
    </w:p>
    <w:p w14:paraId="557ED45F">
      <w:pPr>
        <w:ind w:firstLine="640" w:firstLineChars="200"/>
        <w:rPr>
          <w:rFonts w:hint="eastAsia" w:ascii="仿宋" w:hAnsi="仿宋" w:eastAsia="仿宋" w:cs="仿宋"/>
          <w:sz w:val="32"/>
          <w:szCs w:val="32"/>
        </w:rPr>
      </w:pPr>
      <w:r>
        <w:rPr>
          <w:rFonts w:hint="eastAsia" w:ascii="仿宋" w:hAnsi="仿宋" w:eastAsia="仿宋" w:cs="仿宋"/>
          <w:sz w:val="32"/>
          <w:szCs w:val="32"/>
        </w:rPr>
        <w:t>你单位如对本决定不服，可在收到本决定书之日起六十日内向安阳市人民政府申请行政复议，也可在收到本决定书之日起六个月内向焦作市解放区人民法院提起行政诉讼。如你单位拒不改正上述违法行为，我局将申请滑县人民法院强制执行。</w:t>
      </w:r>
    </w:p>
    <w:p w14:paraId="1690BA7C">
      <w:pPr>
        <w:jc w:val="right"/>
        <w:rPr>
          <w:rFonts w:hint="eastAsia" w:ascii="仿宋" w:hAnsi="仿宋" w:eastAsia="仿宋" w:cs="仿宋"/>
          <w:sz w:val="32"/>
          <w:szCs w:val="32"/>
        </w:rPr>
      </w:pPr>
    </w:p>
    <w:p w14:paraId="7C560B0E">
      <w:pPr>
        <w:jc w:val="center"/>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安阳市生态环境局</w:t>
      </w:r>
    </w:p>
    <w:p w14:paraId="0DB9B70D">
      <w:pPr>
        <w:jc w:val="right"/>
        <w:rPr>
          <w:rFonts w:hint="eastAsia" w:ascii="仿宋" w:hAnsi="仿宋" w:eastAsia="仿宋" w:cs="仿宋"/>
          <w:sz w:val="32"/>
          <w:szCs w:val="32"/>
        </w:rPr>
      </w:pPr>
      <w:r>
        <w:rPr>
          <w:rFonts w:hint="eastAsia" w:ascii="仿宋" w:hAnsi="仿宋" w:eastAsia="仿宋" w:cs="仿宋"/>
          <w:sz w:val="32"/>
          <w:szCs w:val="32"/>
        </w:rPr>
        <w:t xml:space="preserve">2026 年 7 月 21 日 </w:t>
      </w:r>
    </w:p>
    <w:sectPr>
      <w:pgSz w:w="11906" w:h="16838"/>
      <w:pgMar w:top="1440" w:right="1576" w:bottom="1440"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D16D24"/>
    <w:rsid w:val="41706BDD"/>
    <w:rsid w:val="570A59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2026-10-13T00:55:30Z</dcterms:created>
  <dc:creator>Administrator</dc:creator>
  <cp:lastModifiedBy>A8雷彪（汽车保险15938732617）</cp:lastModifiedBy>
  <dcterms:modified xsi:type="dcterms:W3CDTF">2026-10-13T01:07:17Z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eyJoZGlkIjoiN2M5NWJmNDUyZDlmY2ExYTc4MWU0OTEzZTljMjk3YmEiLCJ1c2VySWQiOiI0MzI2ODA1NjcifQ==</vt:lpwstr>
  </property>
  <property fmtid="{D5CDD505-2E9C-101B-9397-08002B2CF9AE}" pid="4" name="ICV">
    <vt:lpwstr>3ABFB15B7743498EAD0638457E50FEF8_12</vt:lpwstr>
  </property>
</Properties>
</file>